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spacing w:line="594" w:lineRule="exact"/>
        <w:jc w:val="center"/>
        <w:rPr>
          <w:rFonts w:eastAsia="方正小标宋_GBK"/>
          <w:sz w:val="44"/>
          <w:szCs w:val="44"/>
        </w:rPr>
      </w:pPr>
      <w:r>
        <w:rPr>
          <w:rFonts w:eastAsia="方正小标宋_GBK"/>
          <w:sz w:val="44"/>
          <w:szCs w:val="44"/>
        </w:rPr>
        <w:t>忠县规划和自然资源局</w:t>
      </w:r>
    </w:p>
    <w:p>
      <w:pPr>
        <w:spacing w:line="594" w:lineRule="exact"/>
        <w:jc w:val="center"/>
        <w:rPr>
          <w:rFonts w:eastAsia="方正小标宋_GBK"/>
          <w:sz w:val="44"/>
          <w:szCs w:val="44"/>
        </w:rPr>
      </w:pPr>
      <w:r>
        <w:rPr>
          <w:rFonts w:eastAsia="方正小标宋_GBK"/>
          <w:sz w:val="44"/>
          <w:szCs w:val="44"/>
        </w:rPr>
        <w:t>关于规范临时用地管理的通知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eastAsia="方正仿宋_GBK"/>
          <w:color w:val="000000"/>
          <w:sz w:val="32"/>
          <w:szCs w:val="32"/>
        </w:rPr>
      </w:pPr>
      <w:r>
        <w:rPr>
          <w:rFonts w:eastAsia="方正仿宋_GBK"/>
          <w:color w:val="000000"/>
          <w:sz w:val="32"/>
          <w:szCs w:val="32"/>
        </w:rPr>
        <w:t>忠规资发〔2022〕89号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eastAsia="方正仿宋_GBK"/>
          <w:color w:val="000000"/>
          <w:sz w:val="32"/>
          <w:szCs w:val="32"/>
        </w:rPr>
      </w:pPr>
    </w:p>
    <w:p>
      <w:pPr>
        <w:spacing w:line="594" w:lineRule="exact"/>
        <w:rPr>
          <w:rFonts w:eastAsia="方正小标宋_GBK"/>
          <w:sz w:val="44"/>
          <w:szCs w:val="44"/>
        </w:rPr>
      </w:pPr>
      <w:r>
        <w:rPr>
          <w:rFonts w:eastAsia="方正仿宋_GBK"/>
          <w:sz w:val="32"/>
          <w:szCs w:val="32"/>
        </w:rPr>
        <w:t>各乡镇人民政府，街道办事处，县政府各部门：</w:t>
      </w:r>
    </w:p>
    <w:p>
      <w:pPr>
        <w:overflowPunct w:val="0"/>
        <w:adjustRightInd w:val="0"/>
        <w:snapToGrid w:val="0"/>
        <w:spacing w:line="594" w:lineRule="exact"/>
        <w:rPr>
          <w:rFonts w:eastAsia="方正仿宋_GBK"/>
          <w:sz w:val="32"/>
          <w:szCs w:val="32"/>
        </w:rPr>
      </w:pPr>
      <w:r>
        <w:rPr>
          <w:rFonts w:hint="eastAsia" w:eastAsia="方正仿宋_GBK"/>
          <w:sz w:val="32"/>
          <w:szCs w:val="32"/>
        </w:rPr>
        <w:t xml:space="preserve">    </w:t>
      </w:r>
      <w:r>
        <w:rPr>
          <w:rFonts w:eastAsia="方正仿宋_GBK"/>
          <w:sz w:val="32"/>
          <w:szCs w:val="32"/>
        </w:rPr>
        <w:t>为进一步加强和规范临时用地管理，根据《</w:t>
      </w:r>
      <w:r>
        <w:rPr>
          <w:rFonts w:hint="eastAsia" w:eastAsia="方正仿宋_GBK"/>
          <w:sz w:val="32"/>
          <w:szCs w:val="32"/>
        </w:rPr>
        <w:t>中华人民共和国土地管理法</w:t>
      </w:r>
      <w:r>
        <w:rPr>
          <w:rFonts w:eastAsia="方正仿宋_GBK"/>
          <w:sz w:val="32"/>
          <w:szCs w:val="32"/>
        </w:rPr>
        <w:t>》《土地管理法实施条例》《自然资源部关于规范临时用地管理的通知》（自然资规〔2021〕2号）和《重庆市规划和自然资源局关于规范临时用地管理的通知》（渝规资规范〔2022〕1号）等有关规定，结合我县实际，现就有关事项通知如下：</w:t>
      </w:r>
    </w:p>
    <w:p>
      <w:pPr>
        <w:overflowPunct w:val="0"/>
        <w:snapToGrid w:val="0"/>
        <w:spacing w:line="594" w:lineRule="exact"/>
        <w:ind w:firstLine="640" w:firstLineChars="200"/>
        <w:rPr>
          <w:rFonts w:eastAsia="方正黑体_GBK"/>
          <w:sz w:val="32"/>
          <w:szCs w:val="32"/>
        </w:rPr>
      </w:pPr>
      <w:r>
        <w:rPr>
          <w:rFonts w:eastAsia="方正黑体_GBK"/>
          <w:sz w:val="32"/>
          <w:szCs w:val="32"/>
        </w:rPr>
        <w:t>一、界定临时用地使用范围</w:t>
      </w:r>
    </w:p>
    <w:p>
      <w:pPr>
        <w:overflowPunct w:val="0"/>
        <w:adjustRightInd w:val="0"/>
        <w:snapToGrid w:val="0"/>
        <w:spacing w:line="594" w:lineRule="exact"/>
        <w:ind w:firstLine="640" w:firstLineChars="200"/>
        <w:rPr>
          <w:rFonts w:eastAsia="方正仿宋_GBK"/>
          <w:sz w:val="32"/>
          <w:szCs w:val="32"/>
        </w:rPr>
      </w:pPr>
      <w:r>
        <w:rPr>
          <w:rFonts w:eastAsia="方正仿宋_GBK"/>
          <w:sz w:val="32"/>
          <w:szCs w:val="32"/>
        </w:rPr>
        <w:t>临时用地是指建设项目施工、地质勘查等临时使用，不修建永久性建（构）筑物，使用后可恢复的土地（通过复垦可恢复原地类或者达到可供利用状态）。临时用地具有临时性和可恢复性等特点，与建设项目施工、地质勘查等无关的用地，使用后无法恢复到原地类或者复垦达不到可供利用状态的用地，不得使用临时用地。临时用地的范围包括：</w:t>
      </w:r>
    </w:p>
    <w:p>
      <w:pPr>
        <w:overflowPunct w:val="0"/>
        <w:adjustRightInd w:val="0"/>
        <w:snapToGrid w:val="0"/>
        <w:spacing w:line="594" w:lineRule="exact"/>
        <w:ind w:firstLine="640" w:firstLineChars="200"/>
        <w:rPr>
          <w:rFonts w:eastAsia="方正仿宋_GBK"/>
          <w:sz w:val="32"/>
          <w:szCs w:val="32"/>
        </w:rPr>
      </w:pPr>
      <w:r>
        <w:rPr>
          <w:rFonts w:eastAsia="方正仿宋_GBK"/>
          <w:sz w:val="32"/>
          <w:szCs w:val="32"/>
        </w:rPr>
        <w:t>（一）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场、施工便道、运输便道、地上线路架设、地下管线敷设作业，以及能源、交通、水利等基础设施项目的取土场、弃土（渣）场等使用的土地。</w:t>
      </w:r>
    </w:p>
    <w:p>
      <w:pPr>
        <w:overflowPunct w:val="0"/>
        <w:adjustRightInd w:val="0"/>
        <w:snapToGrid w:val="0"/>
        <w:spacing w:line="594" w:lineRule="exact"/>
        <w:ind w:firstLine="640" w:firstLineChars="200"/>
        <w:rPr>
          <w:rFonts w:eastAsia="方正仿宋_GBK"/>
          <w:sz w:val="32"/>
          <w:szCs w:val="32"/>
        </w:rPr>
      </w:pPr>
      <w:r>
        <w:rPr>
          <w:rFonts w:eastAsia="方正仿宋_GBK"/>
          <w:sz w:val="32"/>
          <w:szCs w:val="32"/>
        </w:rPr>
        <w:t>（二）矿产资源勘查、工程地质勘查、水文地质勘查等，在勘查期间临时生活用房、临时工棚、勘查作业及其辅助工程、施工便道、运输便道等使用的土地，包括油气资源勘探开发涉及的钻井场、配套管线、电力设施、进场道路等钻井及配套设施使用的土地。</w:t>
      </w:r>
    </w:p>
    <w:p>
      <w:pPr>
        <w:overflowPunct w:val="0"/>
        <w:adjustRightInd w:val="0"/>
        <w:snapToGrid w:val="0"/>
        <w:spacing w:line="594" w:lineRule="exact"/>
        <w:ind w:firstLine="640" w:firstLineChars="200"/>
        <w:rPr>
          <w:rFonts w:eastAsia="方正仿宋_GBK"/>
          <w:sz w:val="32"/>
          <w:szCs w:val="32"/>
        </w:rPr>
      </w:pPr>
      <w:r>
        <w:rPr>
          <w:rFonts w:eastAsia="方正仿宋_GBK"/>
          <w:sz w:val="32"/>
          <w:szCs w:val="32"/>
        </w:rPr>
        <w:t>（三）考古和文物保护工地建设的临时性文物保护设施、工地安全设施、后勤设施等。</w:t>
      </w:r>
    </w:p>
    <w:p>
      <w:pPr>
        <w:overflowPunct w:val="0"/>
        <w:adjustRightInd w:val="0"/>
        <w:snapToGrid w:val="0"/>
        <w:spacing w:line="594" w:lineRule="exact"/>
        <w:ind w:firstLine="640" w:firstLineChars="200"/>
        <w:rPr>
          <w:rFonts w:eastAsia="方正仿宋_GBK"/>
          <w:sz w:val="32"/>
          <w:szCs w:val="32"/>
        </w:rPr>
      </w:pPr>
      <w:r>
        <w:rPr>
          <w:rFonts w:eastAsia="方正仿宋_GBK"/>
          <w:sz w:val="32"/>
          <w:szCs w:val="32"/>
        </w:rPr>
        <w:t>（四）符合法律法规规定的其他需要临时使用的土地。</w:t>
      </w:r>
    </w:p>
    <w:p>
      <w:pPr>
        <w:overflowPunct w:val="0"/>
        <w:adjustRightInd w:val="0"/>
        <w:snapToGrid w:val="0"/>
        <w:spacing w:line="594" w:lineRule="exact"/>
        <w:ind w:firstLine="640" w:firstLineChars="200"/>
        <w:rPr>
          <w:rFonts w:eastAsia="方正黑体_GBK"/>
          <w:sz w:val="32"/>
          <w:szCs w:val="32"/>
        </w:rPr>
      </w:pPr>
      <w:r>
        <w:rPr>
          <w:rFonts w:eastAsia="方正黑体_GBK"/>
          <w:sz w:val="32"/>
          <w:szCs w:val="32"/>
        </w:rPr>
        <w:t>二、引导临时用地科学合理选址</w:t>
      </w:r>
    </w:p>
    <w:p>
      <w:pPr>
        <w:overflowPunct w:val="0"/>
        <w:adjustRightInd w:val="0"/>
        <w:snapToGrid w:val="0"/>
        <w:spacing w:line="594" w:lineRule="exact"/>
        <w:ind w:firstLine="640" w:firstLineChars="200"/>
        <w:rPr>
          <w:rFonts w:eastAsia="方正仿宋_GBK"/>
          <w:sz w:val="32"/>
          <w:szCs w:val="32"/>
        </w:rPr>
      </w:pPr>
      <w:r>
        <w:rPr>
          <w:rFonts w:eastAsia="方正仿宋_GBK"/>
          <w:sz w:val="32"/>
          <w:szCs w:val="32"/>
        </w:rPr>
        <w:t>临时用地应当合理选址，节约集约用地，尽量不占或者少占耕地。使用后土地复垦难度较大的临时用地，要严格控制占用耕地。制梁场、拌合站等难以恢复原种植条件的不得以临时用地方式占用耕地和永久基本农田，可以建设用地方式或者临时占用未利用地方式使用土地。临时用地一般不得占用永久基本农田，确需占用永久基本农田的，必须能够恢复原种植条件，并符合《重庆市规划和自然资源局 重庆市农业农村委员会关于加强和改进永久基本农田保护工作的实施意见》（渝规资规范〔2020〕1号）中申请条件、土壤剥离、复垦验收等有关规定。</w:t>
      </w:r>
    </w:p>
    <w:p>
      <w:pPr>
        <w:overflowPunct w:val="0"/>
        <w:adjustRightInd w:val="0"/>
        <w:snapToGrid w:val="0"/>
        <w:spacing w:line="594" w:lineRule="exact"/>
        <w:ind w:firstLine="640" w:firstLineChars="200"/>
        <w:rPr>
          <w:rFonts w:eastAsia="方正仿宋_GBK"/>
          <w:sz w:val="32"/>
          <w:szCs w:val="32"/>
        </w:rPr>
      </w:pPr>
      <w:r>
        <w:rPr>
          <w:rFonts w:eastAsia="方正仿宋_GBK"/>
          <w:sz w:val="32"/>
          <w:szCs w:val="32"/>
        </w:rPr>
        <w:t>临时用地位于能源、交通、水利等工程保护范围内，或者涉及占用林地、草地、湿地以及各类保护区等生态管控区域，在办理临时用地审批手续前，应当按规定取得有关主管部门和管理机构意见，需要进行论证的，还应当按规定进行充分论证。</w:t>
      </w:r>
      <w:r>
        <w:rPr>
          <w:rFonts w:eastAsia="方正仿宋_GBK"/>
          <w:bCs/>
          <w:sz w:val="32"/>
          <w:szCs w:val="32"/>
        </w:rPr>
        <w:t>临时用地涉及储备土地的，须取得土地储备机构的同级</w:t>
      </w:r>
      <w:r>
        <w:rPr>
          <w:rFonts w:eastAsia="方正仿宋_GBK"/>
          <w:sz w:val="32"/>
          <w:szCs w:val="32"/>
        </w:rPr>
        <w:t>规划自然资源主管部门同意意见。</w:t>
      </w:r>
    </w:p>
    <w:p>
      <w:pPr>
        <w:overflowPunct w:val="0"/>
        <w:adjustRightInd w:val="0"/>
        <w:snapToGrid w:val="0"/>
        <w:spacing w:line="594" w:lineRule="exact"/>
        <w:ind w:firstLine="640" w:firstLineChars="200"/>
        <w:rPr>
          <w:rFonts w:eastAsia="方正仿宋_GBK"/>
          <w:sz w:val="32"/>
          <w:szCs w:val="32"/>
        </w:rPr>
      </w:pPr>
      <w:r>
        <w:rPr>
          <w:rFonts w:eastAsia="方正仿宋_GBK"/>
          <w:sz w:val="32"/>
          <w:szCs w:val="32"/>
        </w:rPr>
        <w:t>临时用地选址及有关建设活动应当符合《重庆市地质灾害防治条例》有关规定。对位于地质灾害易发区的，应当按照国家和本市有关规定开展地质灾害危险性评估。在低易发区内修建自用、临时、小型建（构）筑物的，可以不进行地质灾害危险性评估。</w:t>
      </w:r>
    </w:p>
    <w:p>
      <w:pPr>
        <w:overflowPunct w:val="0"/>
        <w:adjustRightInd w:val="0"/>
        <w:snapToGrid w:val="0"/>
        <w:spacing w:line="594" w:lineRule="exact"/>
        <w:ind w:firstLine="640" w:firstLineChars="200"/>
        <w:rPr>
          <w:rFonts w:eastAsia="方正黑体_GBK"/>
          <w:sz w:val="32"/>
          <w:szCs w:val="32"/>
        </w:rPr>
      </w:pPr>
      <w:r>
        <w:rPr>
          <w:rFonts w:eastAsia="方正黑体_GBK"/>
          <w:sz w:val="32"/>
          <w:szCs w:val="32"/>
        </w:rPr>
        <w:t>三、明确临时用地期限</w:t>
      </w:r>
    </w:p>
    <w:p>
      <w:pPr>
        <w:overflowPunct w:val="0"/>
        <w:snapToGrid w:val="0"/>
        <w:spacing w:line="594" w:lineRule="exact"/>
        <w:ind w:firstLine="640" w:firstLineChars="200"/>
        <w:rPr>
          <w:rFonts w:eastAsia="方正仿宋_GBK"/>
          <w:sz w:val="32"/>
          <w:szCs w:val="32"/>
        </w:rPr>
      </w:pPr>
      <w:r>
        <w:rPr>
          <w:rFonts w:eastAsia="方正仿宋_GBK"/>
          <w:sz w:val="32"/>
          <w:szCs w:val="32"/>
        </w:rPr>
        <w:t>临时用地使用期限从批准之日起算，一般不超过2年；建设周期较长的能源、交通、水利等基础设施建设使用的临时用地，期限不超过4年；法律、行政法规另有规定的除外。城镇开发边界内依法应当取得临时建设工程规划许可的，其期限应当与临时用地的期限相衔接。</w:t>
      </w:r>
    </w:p>
    <w:p>
      <w:pPr>
        <w:overflowPunct w:val="0"/>
        <w:adjustRightInd w:val="0"/>
        <w:snapToGrid w:val="0"/>
        <w:spacing w:line="594" w:lineRule="exact"/>
        <w:ind w:firstLine="640" w:firstLineChars="200"/>
        <w:rPr>
          <w:rFonts w:eastAsia="方正黑体_GBK"/>
          <w:sz w:val="32"/>
          <w:szCs w:val="32"/>
        </w:rPr>
      </w:pPr>
      <w:r>
        <w:rPr>
          <w:rFonts w:eastAsia="方正黑体_GBK"/>
          <w:sz w:val="32"/>
          <w:szCs w:val="32"/>
        </w:rPr>
        <w:t>四、规范临时用地审批</w:t>
      </w:r>
    </w:p>
    <w:p>
      <w:pPr>
        <w:overflowPunct w:val="0"/>
        <w:snapToGrid w:val="0"/>
        <w:spacing w:line="594" w:lineRule="exact"/>
        <w:ind w:firstLine="640" w:firstLineChars="200"/>
        <w:rPr>
          <w:rFonts w:eastAsia="方正仿宋_GBK"/>
          <w:sz w:val="32"/>
          <w:szCs w:val="32"/>
        </w:rPr>
      </w:pPr>
      <w:r>
        <w:rPr>
          <w:rFonts w:eastAsia="方正楷体_GBK"/>
          <w:sz w:val="32"/>
          <w:szCs w:val="32"/>
        </w:rPr>
        <w:t>（一）签订临时使用土地合同。</w:t>
      </w:r>
      <w:r>
        <w:rPr>
          <w:rFonts w:eastAsia="方正仿宋_GBK"/>
          <w:sz w:val="32"/>
          <w:szCs w:val="32"/>
        </w:rPr>
        <w:t>临时用地应当根据土地权属，签订临时使用土地合同，明确临时用地的地点、四至范围、面积和现状地类，以及临时使用土地的用途、使用期限、土地复垦标准、补偿费用和支付方式、违约责任等。临时使用集体土地的，临时使用土地合同由临时用地单位与农村集体经济组织、村民委员会签订。临时使用国有土地的，临时使用土地合同由临时用地单位与储备机构或者国有土地使用权人签订；涉及未储备或者未确定使用权的国有土地的，临时使用土地合同由临时用地单位与规划自然资源主管部门签订。</w:t>
      </w:r>
    </w:p>
    <w:p>
      <w:pPr>
        <w:overflowPunct w:val="0"/>
        <w:snapToGrid w:val="0"/>
        <w:spacing w:line="594" w:lineRule="exact"/>
        <w:ind w:firstLine="640" w:firstLineChars="200"/>
        <w:rPr>
          <w:rFonts w:eastAsia="方正仿宋_GBK"/>
          <w:sz w:val="32"/>
          <w:szCs w:val="32"/>
        </w:rPr>
      </w:pPr>
      <w:r>
        <w:rPr>
          <w:rFonts w:eastAsia="方正楷体_GBK"/>
          <w:sz w:val="32"/>
          <w:szCs w:val="32"/>
        </w:rPr>
        <w:t>（二）落实土地复垦费用。</w:t>
      </w:r>
      <w:r>
        <w:rPr>
          <w:rFonts w:eastAsia="方正仿宋_GBK"/>
          <w:sz w:val="32"/>
          <w:szCs w:val="32"/>
        </w:rPr>
        <w:t>临时用地单位应当按照《土地复垦条例》和《土地复垦条例实施办法》等有关规定，编制临时用地土地复垦方案，经规划自然资源主管部门审查通过后，按照土地复垦方案确定的资金数额，在与规划自然资源主管部门双方约定建立的账户中足额预存土地复垦费用，并与规划自然资源主管部门、银行共同签订土地复垦费用使用监管协议。</w:t>
      </w:r>
    </w:p>
    <w:p>
      <w:pPr>
        <w:overflowPunct w:val="0"/>
        <w:spacing w:line="594" w:lineRule="exact"/>
        <w:ind w:firstLine="640" w:firstLineChars="200"/>
        <w:rPr>
          <w:szCs w:val="22"/>
        </w:rPr>
      </w:pPr>
      <w:r>
        <w:rPr>
          <w:rFonts w:eastAsia="方正楷体_GBK"/>
          <w:sz w:val="32"/>
          <w:szCs w:val="32"/>
        </w:rPr>
        <w:t>（三）申请临时用地。</w:t>
      </w:r>
      <w:r>
        <w:rPr>
          <w:rFonts w:eastAsia="方正仿宋_GBK"/>
          <w:sz w:val="32"/>
          <w:szCs w:val="32"/>
        </w:rPr>
        <w:t>临时用地单位持附件1所列材料，向规划自然资源主管部门提出临时用地申请，申请时应当明确临时用地详细用途及其具体位置。根据项目实施情况，临时用地单位可以分阶段、分批次申请临时用地。临时用地单位应为项目法人或者地质勘查批准文件、勘查许可证等确定的主体单位。铁路、高速公路等市级以上重点线性工程的临时用地，项目法人可以书面委托施工单位代办临时用地报批手续。</w:t>
      </w:r>
    </w:p>
    <w:p>
      <w:pPr>
        <w:overflowPunct w:val="0"/>
        <w:snapToGrid w:val="0"/>
        <w:spacing w:line="594" w:lineRule="exact"/>
        <w:ind w:firstLine="640" w:firstLineChars="200"/>
        <w:rPr>
          <w:rFonts w:eastAsia="方正仿宋_GBK"/>
          <w:sz w:val="32"/>
          <w:szCs w:val="32"/>
        </w:rPr>
      </w:pPr>
      <w:r>
        <w:rPr>
          <w:rFonts w:eastAsia="方正楷体_GBK"/>
          <w:sz w:val="32"/>
          <w:szCs w:val="32"/>
        </w:rPr>
        <w:t>（四）审批临时用地。</w:t>
      </w:r>
      <w:r>
        <w:rPr>
          <w:rFonts w:eastAsia="方正仿宋_GBK"/>
          <w:sz w:val="32"/>
          <w:szCs w:val="32"/>
        </w:rPr>
        <w:t>临时用地申请资料齐备且符合规定的，规划自然资源主管部门应当自受理临时用地申请之日起7个工作日内完成临时用地审批。临时用地申请不符合条件不予批准的，书面通知申请人并说明理由。</w:t>
      </w:r>
    </w:p>
    <w:p>
      <w:pPr>
        <w:overflowPunct w:val="0"/>
        <w:adjustRightInd w:val="0"/>
        <w:snapToGrid w:val="0"/>
        <w:spacing w:line="594" w:lineRule="exact"/>
        <w:ind w:firstLine="640" w:firstLineChars="200"/>
        <w:rPr>
          <w:rFonts w:eastAsia="方正黑体_GBK"/>
          <w:sz w:val="32"/>
          <w:szCs w:val="32"/>
        </w:rPr>
      </w:pPr>
      <w:r>
        <w:rPr>
          <w:rFonts w:eastAsia="方正黑体_GBK"/>
          <w:sz w:val="32"/>
          <w:szCs w:val="32"/>
        </w:rPr>
        <w:t>五、合理确定临时用地补偿</w:t>
      </w:r>
    </w:p>
    <w:p>
      <w:pPr>
        <w:overflowPunct w:val="0"/>
        <w:snapToGrid w:val="0"/>
        <w:spacing w:line="594" w:lineRule="exact"/>
        <w:ind w:firstLine="640" w:firstLineChars="200"/>
        <w:rPr>
          <w:rFonts w:eastAsia="方正仿宋_GBK"/>
          <w:sz w:val="32"/>
          <w:szCs w:val="32"/>
        </w:rPr>
      </w:pPr>
      <w:r>
        <w:rPr>
          <w:rFonts w:eastAsia="方正仿宋_GBK"/>
          <w:sz w:val="32"/>
          <w:szCs w:val="32"/>
        </w:rPr>
        <w:t>临时使用集体土地的，每使用一</w:t>
      </w:r>
      <w:r>
        <w:rPr>
          <w:rFonts w:eastAsia="方正仿宋_GBK"/>
          <w:spacing w:val="-6"/>
          <w:sz w:val="32"/>
          <w:szCs w:val="32"/>
        </w:rPr>
        <w:t>年的补偿标准原则上不低于所在区域土地补偿费标准的10%，涉及占用青苗及地上附着物的，还应当对青苗及地上附着物另行一次性补</w:t>
      </w:r>
      <w:r>
        <w:rPr>
          <w:rFonts w:eastAsia="方正仿宋_GBK"/>
          <w:sz w:val="32"/>
          <w:szCs w:val="32"/>
        </w:rPr>
        <w:t>偿。</w:t>
      </w:r>
    </w:p>
    <w:p>
      <w:pPr>
        <w:overflowPunct w:val="0"/>
        <w:snapToGrid w:val="0"/>
        <w:spacing w:line="594" w:lineRule="exact"/>
        <w:ind w:firstLine="640" w:firstLineChars="200"/>
        <w:rPr>
          <w:rFonts w:eastAsia="方正仿宋_GBK"/>
          <w:sz w:val="32"/>
          <w:szCs w:val="32"/>
        </w:rPr>
      </w:pPr>
      <w:r>
        <w:rPr>
          <w:rFonts w:eastAsia="方正仿宋_GBK"/>
          <w:sz w:val="32"/>
          <w:szCs w:val="32"/>
        </w:rPr>
        <w:t>临时使用国有土地的，补偿费用由合同各方协商确定。</w:t>
      </w:r>
    </w:p>
    <w:p>
      <w:pPr>
        <w:overflowPunct w:val="0"/>
        <w:adjustRightInd w:val="0"/>
        <w:snapToGrid w:val="0"/>
        <w:spacing w:line="594" w:lineRule="exact"/>
        <w:ind w:firstLine="640" w:firstLineChars="200"/>
        <w:rPr>
          <w:rFonts w:eastAsia="方正黑体_GBK"/>
          <w:sz w:val="32"/>
          <w:szCs w:val="32"/>
        </w:rPr>
      </w:pPr>
      <w:r>
        <w:rPr>
          <w:rFonts w:eastAsia="方正黑体_GBK"/>
          <w:sz w:val="32"/>
          <w:szCs w:val="32"/>
        </w:rPr>
        <w:t>六、落实临时用地恢复责任</w:t>
      </w:r>
    </w:p>
    <w:p>
      <w:pPr>
        <w:overflowPunct w:val="0"/>
        <w:adjustRightInd w:val="0"/>
        <w:snapToGrid w:val="0"/>
        <w:spacing w:line="594" w:lineRule="exact"/>
        <w:ind w:firstLine="640" w:firstLineChars="200"/>
        <w:rPr>
          <w:rFonts w:eastAsia="方正仿宋_GBK"/>
          <w:sz w:val="32"/>
          <w:szCs w:val="32"/>
        </w:rPr>
      </w:pPr>
      <w:r>
        <w:rPr>
          <w:rFonts w:eastAsia="方正楷体_GBK"/>
          <w:sz w:val="32"/>
          <w:szCs w:val="32"/>
        </w:rPr>
        <w:t>（一）切实履行土地复垦责任义务。</w:t>
      </w:r>
      <w:r>
        <w:rPr>
          <w:rFonts w:eastAsia="方正仿宋_GBK"/>
          <w:sz w:val="32"/>
          <w:szCs w:val="32"/>
        </w:rPr>
        <w:t>按照“谁使用、谁复垦”的原则，临时用地单位是土地复垦的责任主体。临时用地单位应当将土地复垦费用纳入项目总投资，确保土地复垦费用足额落实到位。在临时使用土地前，临时用地单位要对拟占用的耕地、园地等农用地进行表土剥离和妥善保护，并将其用于土地复垦。临时用地期满后，临时用地单位应当拆除临时建（构）筑物，使用耕地的应当复垦为耕地，确保耕地面积不减少、质量不降低；使用耕地以外的其他农用地的应当恢复为农用地；使用未利用地的，对于符合条件的鼓励复垦为耕地。</w:t>
      </w:r>
    </w:p>
    <w:p>
      <w:pPr>
        <w:overflowPunct w:val="0"/>
        <w:adjustRightInd w:val="0"/>
        <w:snapToGrid w:val="0"/>
        <w:spacing w:line="594" w:lineRule="exact"/>
        <w:ind w:firstLine="640" w:firstLineChars="200"/>
        <w:rPr>
          <w:rFonts w:eastAsia="方正仿宋_GBK"/>
          <w:sz w:val="32"/>
          <w:szCs w:val="32"/>
        </w:rPr>
      </w:pPr>
      <w:r>
        <w:rPr>
          <w:rFonts w:eastAsia="方正楷体_GBK"/>
          <w:sz w:val="32"/>
          <w:szCs w:val="32"/>
        </w:rPr>
        <w:t>（二）严格落实按期复垦要求。</w:t>
      </w:r>
      <w:r>
        <w:rPr>
          <w:rFonts w:eastAsia="方正仿宋_GBK"/>
          <w:sz w:val="32"/>
          <w:szCs w:val="32"/>
        </w:rPr>
        <w:t>临时用地单位应当自临时用地期满之日起1年内完成土地复垦。因气候、灾害等不可抗力因素影响复垦的，经规划自然资源主管部门批准可以适当延长复垦期限，临时用地单位应当在不晚于不可抗力因素消除后的6个月内完成土地复垦。临时用地期满之日起1年内未完成复垦或者未恢复种植条件的，规划自然资源主管部门责令限期改正；逾期不改正的，责令缴纳复垦费，可以按土地复垦费的2倍以上5倍以下处以罚款，并由规划自然资源主管部门会同同级农业农村主管部门代为完成复垦或者恢复种植条件。</w:t>
      </w:r>
    </w:p>
    <w:p>
      <w:pPr>
        <w:overflowPunct w:val="0"/>
        <w:adjustRightInd w:val="0"/>
        <w:snapToGrid w:val="0"/>
        <w:spacing w:line="594" w:lineRule="exact"/>
        <w:ind w:firstLine="640" w:firstLineChars="200"/>
        <w:rPr>
          <w:rFonts w:eastAsia="方正仿宋_GBK"/>
          <w:sz w:val="32"/>
          <w:szCs w:val="32"/>
        </w:rPr>
      </w:pPr>
      <w:r>
        <w:rPr>
          <w:rFonts w:eastAsia="方正楷体_GBK"/>
          <w:sz w:val="32"/>
          <w:szCs w:val="32"/>
        </w:rPr>
        <w:t>（三）及时归还临时使用的土地。</w:t>
      </w:r>
      <w:r>
        <w:rPr>
          <w:rFonts w:eastAsia="方正仿宋_GBK"/>
          <w:sz w:val="32"/>
          <w:szCs w:val="32"/>
        </w:rPr>
        <w:t>恢复原地类或者达到可供利用状态后，临时用地单位应当按照临时使用土地合同约定将土地予以归还。临时使用土地期满拒不归还的，由规划自然资源主管部门责令交还土地，处以罚款。</w:t>
      </w:r>
    </w:p>
    <w:p>
      <w:pPr>
        <w:overflowPunct w:val="0"/>
        <w:adjustRightInd w:val="0"/>
        <w:snapToGrid w:val="0"/>
        <w:spacing w:line="594" w:lineRule="exact"/>
        <w:ind w:firstLine="640" w:firstLineChars="200"/>
        <w:rPr>
          <w:rFonts w:eastAsia="方正黑体_GBK"/>
          <w:sz w:val="32"/>
          <w:szCs w:val="32"/>
        </w:rPr>
      </w:pPr>
      <w:r>
        <w:rPr>
          <w:rFonts w:eastAsia="方正黑体_GBK"/>
          <w:sz w:val="32"/>
          <w:szCs w:val="32"/>
        </w:rPr>
        <w:t>七、严格临时用地监管</w:t>
      </w:r>
    </w:p>
    <w:p>
      <w:pPr>
        <w:overflowPunct w:val="0"/>
        <w:snapToGrid w:val="0"/>
        <w:spacing w:line="594" w:lineRule="exact"/>
        <w:ind w:firstLine="640" w:firstLineChars="200"/>
        <w:rPr>
          <w:rFonts w:eastAsia="方正仿宋_GBK"/>
          <w:sz w:val="32"/>
          <w:szCs w:val="32"/>
        </w:rPr>
      </w:pPr>
      <w:r>
        <w:rPr>
          <w:rFonts w:eastAsia="方正仿宋_GBK"/>
          <w:sz w:val="32"/>
          <w:szCs w:val="32"/>
        </w:rPr>
        <w:t>临时用地批准后，临时用地单位应当在项目现场显著位置设立临时用地公示牌，公示牌应当包含项目名称、临时用地单位、用地面积、详细用途、使用期限以及举报电话和邮箱等内容，接受公众监督。各乡镇人民政府，街道办事处要加强对临时用地使用监督检查，落实责任主体，建立日常巡查监管机制，形成从乡镇（街道）、村社的网格监管体系。乡镇规划自然资源所每月开展</w:t>
      </w:r>
      <w:r>
        <w:rPr>
          <w:rFonts w:hint="eastAsia" w:eastAsia="方正仿宋_GBK"/>
          <w:sz w:val="32"/>
          <w:szCs w:val="32"/>
        </w:rPr>
        <w:t>巡察检查</w:t>
      </w:r>
      <w:r>
        <w:rPr>
          <w:rFonts w:eastAsia="方正仿宋_GBK"/>
          <w:sz w:val="32"/>
          <w:szCs w:val="32"/>
        </w:rPr>
        <w:t>；农村集体经济组织和村民委员会应当监督临时用地单位按照临时使用土地合同约定使用土地，发现以临时用地为名修建永久性建筑物，批少占多、批甲占乙以及转让、出租、抵押临时用地等问题，及时向规划自然资源主管部门反映，确保早发现、早制止。县规划自然资源部门加强临时用地的动态</w:t>
      </w:r>
      <w:r>
        <w:rPr>
          <w:rFonts w:hint="eastAsia" w:eastAsia="方正仿宋_GBK"/>
          <w:sz w:val="32"/>
          <w:szCs w:val="32"/>
        </w:rPr>
        <w:t>巡察工作</w:t>
      </w:r>
      <w:r>
        <w:rPr>
          <w:rFonts w:eastAsia="方正仿宋_GBK"/>
          <w:sz w:val="32"/>
          <w:szCs w:val="32"/>
        </w:rPr>
        <w:t>，并定期检查占用耕地和永久基本农田临时用地的使</w:t>
      </w:r>
      <w:bookmarkStart w:id="0" w:name="_GoBack"/>
      <w:bookmarkEnd w:id="0"/>
      <w:r>
        <w:rPr>
          <w:rFonts w:eastAsia="方正仿宋_GBK"/>
          <w:sz w:val="32"/>
          <w:szCs w:val="32"/>
        </w:rPr>
        <w:t>用和复垦情况，对未按照临时用地规范进行的建设，临时用地超出复垦期限未完成复垦以及临时用地期满拒不归还土地等行为，依纪依规移送问题线索，追究责任人的责任。</w:t>
      </w:r>
    </w:p>
    <w:p>
      <w:pPr>
        <w:spacing w:line="594" w:lineRule="exact"/>
        <w:ind w:firstLine="640" w:firstLineChars="200"/>
        <w:rPr>
          <w:rFonts w:eastAsia="方正仿宋_GBK"/>
          <w:sz w:val="32"/>
          <w:szCs w:val="32"/>
        </w:rPr>
      </w:pPr>
      <w:r>
        <w:rPr>
          <w:rFonts w:eastAsia="方正仿宋_GBK"/>
          <w:sz w:val="32"/>
          <w:szCs w:val="32"/>
        </w:rPr>
        <w:t>本文件自印发之日起执行。</w:t>
      </w:r>
    </w:p>
    <w:p>
      <w:pPr>
        <w:overflowPunct w:val="0"/>
        <w:adjustRightInd w:val="0"/>
        <w:snapToGrid w:val="0"/>
        <w:spacing w:line="594" w:lineRule="exact"/>
        <w:ind w:firstLine="640" w:firstLineChars="200"/>
        <w:rPr>
          <w:rFonts w:eastAsia="方正仿宋_GBK"/>
          <w:sz w:val="32"/>
          <w:szCs w:val="32"/>
        </w:rPr>
      </w:pPr>
    </w:p>
    <w:p>
      <w:pPr>
        <w:overflowPunct w:val="0"/>
        <w:adjustRightInd w:val="0"/>
        <w:snapToGrid w:val="0"/>
        <w:spacing w:line="594" w:lineRule="exact"/>
        <w:ind w:firstLine="640" w:firstLineChars="200"/>
        <w:rPr>
          <w:rFonts w:eastAsia="方正仿宋_GBK"/>
          <w:sz w:val="32"/>
          <w:szCs w:val="32"/>
        </w:rPr>
      </w:pPr>
      <w:r>
        <w:rPr>
          <w:rFonts w:eastAsia="方正仿宋_GBK"/>
          <w:sz w:val="32"/>
          <w:szCs w:val="32"/>
        </w:rPr>
        <w:t>附件：1．临时用地申请材料清单</w:t>
      </w:r>
    </w:p>
    <w:p>
      <w:pPr>
        <w:overflowPunct w:val="0"/>
        <w:snapToGrid w:val="0"/>
        <w:spacing w:line="594" w:lineRule="exact"/>
        <w:ind w:firstLine="1619" w:firstLineChars="506"/>
        <w:rPr>
          <w:rFonts w:eastAsia="方正仿宋_GBK"/>
          <w:sz w:val="32"/>
          <w:szCs w:val="32"/>
        </w:rPr>
      </w:pPr>
      <w:r>
        <w:rPr>
          <w:rFonts w:eastAsia="方正仿宋_GBK"/>
          <w:sz w:val="32"/>
          <w:szCs w:val="32"/>
        </w:rPr>
        <w:t>2．临时用地申请表</w:t>
      </w:r>
    </w:p>
    <w:p>
      <w:pPr>
        <w:spacing w:line="594" w:lineRule="exact"/>
        <w:rPr>
          <w:rFonts w:eastAsia="方正仿宋_GBK"/>
          <w:sz w:val="32"/>
          <w:szCs w:val="32"/>
        </w:rPr>
      </w:pPr>
    </w:p>
    <w:p>
      <w:pPr>
        <w:spacing w:line="594" w:lineRule="exact"/>
        <w:ind w:firstLine="4960" w:firstLineChars="1550"/>
        <w:rPr>
          <w:rFonts w:eastAsia="方正仿宋_GBK"/>
          <w:sz w:val="32"/>
          <w:szCs w:val="32"/>
        </w:rPr>
      </w:pPr>
    </w:p>
    <w:p>
      <w:pPr>
        <w:spacing w:line="594" w:lineRule="exact"/>
        <w:ind w:firstLine="4960" w:firstLineChars="1550"/>
        <w:rPr>
          <w:rFonts w:eastAsia="方正仿宋_GBK"/>
          <w:sz w:val="32"/>
          <w:szCs w:val="32"/>
        </w:rPr>
      </w:pPr>
      <w:r>
        <w:rPr>
          <w:rFonts w:eastAsia="方正仿宋_GBK"/>
          <w:sz w:val="32"/>
          <w:szCs w:val="32"/>
        </w:rPr>
        <w:t>忠县规划和自然资源局</w:t>
      </w:r>
    </w:p>
    <w:p>
      <w:pPr>
        <w:spacing w:line="594" w:lineRule="exact"/>
        <w:ind w:firstLine="5440" w:firstLineChars="1700"/>
        <w:rPr>
          <w:rFonts w:eastAsia="方正仿宋_GBK"/>
          <w:sz w:val="32"/>
          <w:szCs w:val="32"/>
        </w:rPr>
      </w:pPr>
      <w:r>
        <w:rPr>
          <w:rFonts w:eastAsia="方正仿宋_GBK"/>
          <w:sz w:val="32"/>
          <w:szCs w:val="32"/>
        </w:rPr>
        <w:t>2022年5月17日</w:t>
      </w:r>
    </w:p>
    <w:p>
      <w:pPr>
        <w:widowControl/>
        <w:jc w:val="left"/>
        <w:rPr>
          <w:rFonts w:eastAsia="方正黑体_GBK"/>
          <w:sz w:val="32"/>
          <w:szCs w:val="32"/>
        </w:rPr>
      </w:pPr>
      <w:r>
        <w:rPr>
          <w:rFonts w:hint="eastAsia" w:ascii="方正仿宋_GBK" w:eastAsia="方正仿宋_GBK"/>
          <w:sz w:val="32"/>
          <w:szCs w:val="32"/>
        </w:rPr>
        <w:br w:type="page"/>
      </w:r>
      <w:r>
        <w:rPr>
          <w:rFonts w:eastAsia="方正黑体_GBK"/>
          <w:sz w:val="32"/>
          <w:szCs w:val="32"/>
        </w:rPr>
        <w:t>附件</w:t>
      </w:r>
      <w:r>
        <w:rPr>
          <w:rFonts w:hint="eastAsia" w:eastAsia="方正黑体_GBK"/>
          <w:sz w:val="32"/>
          <w:szCs w:val="32"/>
        </w:rPr>
        <w:t>1</w:t>
      </w:r>
    </w:p>
    <w:p>
      <w:pPr>
        <w:overflowPunct w:val="0"/>
        <w:snapToGrid w:val="0"/>
        <w:spacing w:line="594" w:lineRule="exact"/>
        <w:jc w:val="center"/>
        <w:rPr>
          <w:rFonts w:eastAsia="方正小标宋_GBK"/>
          <w:sz w:val="44"/>
          <w:szCs w:val="44"/>
        </w:rPr>
      </w:pPr>
      <w:r>
        <w:rPr>
          <w:rFonts w:eastAsia="方正小标宋_GBK"/>
          <w:sz w:val="44"/>
          <w:szCs w:val="44"/>
        </w:rPr>
        <w:t>临时用地申请材料清单</w:t>
      </w:r>
    </w:p>
    <w:p>
      <w:pPr>
        <w:overflowPunct w:val="0"/>
        <w:snapToGrid w:val="0"/>
        <w:spacing w:line="594" w:lineRule="exact"/>
        <w:ind w:firstLine="640" w:firstLineChars="200"/>
        <w:rPr>
          <w:rFonts w:eastAsia="方正仿宋_GBK"/>
          <w:sz w:val="32"/>
          <w:szCs w:val="32"/>
        </w:rPr>
      </w:pPr>
    </w:p>
    <w:p>
      <w:pPr>
        <w:overflowPunct w:val="0"/>
        <w:snapToGrid w:val="0"/>
        <w:spacing w:line="594" w:lineRule="exact"/>
        <w:ind w:left="1173" w:leftChars="303" w:hanging="537" w:hangingChars="168"/>
        <w:rPr>
          <w:rFonts w:eastAsia="方正仿宋_GBK"/>
          <w:sz w:val="32"/>
          <w:szCs w:val="32"/>
        </w:rPr>
      </w:pPr>
      <w:r>
        <w:rPr>
          <w:rFonts w:eastAsia="方正仿宋_GBK"/>
          <w:sz w:val="32"/>
          <w:szCs w:val="32"/>
        </w:rPr>
        <w:t>1．工程建设项目审批（核准、备案）或者地质勘查批准文件、勘查许可证等项目依据文件；</w:t>
      </w:r>
    </w:p>
    <w:p>
      <w:pPr>
        <w:overflowPunct w:val="0"/>
        <w:snapToGrid w:val="0"/>
        <w:spacing w:line="594" w:lineRule="exact"/>
        <w:ind w:firstLine="640" w:firstLineChars="200"/>
        <w:rPr>
          <w:rFonts w:eastAsia="方正仿宋_GBK"/>
          <w:sz w:val="32"/>
          <w:szCs w:val="32"/>
        </w:rPr>
      </w:pPr>
      <w:r>
        <w:rPr>
          <w:rFonts w:eastAsia="方正仿宋_GBK"/>
          <w:sz w:val="32"/>
          <w:szCs w:val="32"/>
        </w:rPr>
        <w:t>2．临时用地申请表；</w:t>
      </w:r>
    </w:p>
    <w:p>
      <w:pPr>
        <w:overflowPunct w:val="0"/>
        <w:snapToGrid w:val="0"/>
        <w:spacing w:line="594" w:lineRule="exact"/>
        <w:ind w:left="1116" w:leftChars="303" w:hanging="480" w:hangingChars="150"/>
        <w:rPr>
          <w:rFonts w:eastAsia="方正仿宋_GBK"/>
          <w:sz w:val="32"/>
          <w:szCs w:val="32"/>
        </w:rPr>
      </w:pPr>
      <w:r>
        <w:rPr>
          <w:rFonts w:eastAsia="方正仿宋_GBK"/>
          <w:sz w:val="32"/>
          <w:szCs w:val="32"/>
        </w:rPr>
        <w:t>3．勘测定界成果（土地勘测定界技术报告书、勘测定界图、</w:t>
      </w:r>
      <w:r>
        <w:rPr>
          <w:rFonts w:eastAsia="方正仿宋_GBK"/>
          <w:bCs/>
          <w:sz w:val="32"/>
          <w:szCs w:val="32"/>
        </w:rPr>
        <w:t>细分至详细用途的</w:t>
      </w:r>
      <w:r>
        <w:rPr>
          <w:rFonts w:eastAsia="方正仿宋_GBK"/>
          <w:sz w:val="32"/>
          <w:szCs w:val="32"/>
        </w:rPr>
        <w:t>2000国家大地坐标系</w:t>
      </w:r>
      <w:r>
        <w:rPr>
          <w:rFonts w:eastAsia="方正仿宋_GBK"/>
          <w:bCs/>
          <w:sz w:val="32"/>
          <w:szCs w:val="32"/>
        </w:rPr>
        <w:t>界址点txt坐标成果</w:t>
      </w:r>
      <w:r>
        <w:rPr>
          <w:rFonts w:eastAsia="方正仿宋_GBK"/>
          <w:sz w:val="32"/>
          <w:szCs w:val="32"/>
        </w:rPr>
        <w:t>）；</w:t>
      </w:r>
    </w:p>
    <w:p>
      <w:pPr>
        <w:overflowPunct w:val="0"/>
        <w:snapToGrid w:val="0"/>
        <w:spacing w:line="594" w:lineRule="exact"/>
        <w:ind w:firstLine="640" w:firstLineChars="200"/>
        <w:rPr>
          <w:rFonts w:eastAsia="方正仿宋_GBK"/>
          <w:sz w:val="32"/>
          <w:szCs w:val="32"/>
        </w:rPr>
      </w:pPr>
      <w:r>
        <w:rPr>
          <w:rFonts w:eastAsia="方正仿宋_GBK"/>
          <w:sz w:val="32"/>
          <w:szCs w:val="32"/>
        </w:rPr>
        <w:t>4．土地权属资料；</w:t>
      </w:r>
    </w:p>
    <w:p>
      <w:pPr>
        <w:overflowPunct w:val="0"/>
        <w:snapToGrid w:val="0"/>
        <w:spacing w:line="594" w:lineRule="exact"/>
        <w:ind w:firstLine="640" w:firstLineChars="200"/>
        <w:rPr>
          <w:rFonts w:eastAsia="方正仿宋_GBK"/>
          <w:sz w:val="32"/>
          <w:szCs w:val="32"/>
        </w:rPr>
      </w:pPr>
      <w:r>
        <w:rPr>
          <w:rFonts w:eastAsia="方正仿宋_GBK"/>
          <w:sz w:val="32"/>
          <w:szCs w:val="32"/>
        </w:rPr>
        <w:t>5．土地利用现状照片；</w:t>
      </w:r>
    </w:p>
    <w:p>
      <w:pPr>
        <w:overflowPunct w:val="0"/>
        <w:snapToGrid w:val="0"/>
        <w:spacing w:line="594" w:lineRule="exact"/>
        <w:ind w:firstLine="640" w:firstLineChars="200"/>
        <w:rPr>
          <w:rFonts w:eastAsia="方正仿宋_GBK"/>
          <w:sz w:val="32"/>
          <w:szCs w:val="32"/>
        </w:rPr>
      </w:pPr>
      <w:r>
        <w:rPr>
          <w:rFonts w:eastAsia="方正仿宋_GBK"/>
          <w:sz w:val="32"/>
          <w:szCs w:val="32"/>
        </w:rPr>
        <w:t>6．临时使用土地合同；</w:t>
      </w:r>
    </w:p>
    <w:p>
      <w:pPr>
        <w:overflowPunct w:val="0"/>
        <w:snapToGrid w:val="0"/>
        <w:spacing w:line="594" w:lineRule="exact"/>
        <w:ind w:firstLine="640" w:firstLineChars="200"/>
        <w:rPr>
          <w:rFonts w:eastAsia="方正仿宋_GBK"/>
          <w:sz w:val="32"/>
          <w:szCs w:val="32"/>
        </w:rPr>
      </w:pPr>
      <w:r>
        <w:rPr>
          <w:rFonts w:eastAsia="方正仿宋_GBK"/>
          <w:sz w:val="32"/>
          <w:szCs w:val="32"/>
        </w:rPr>
        <w:t>7．土地复垦方案报告表及其审查意见书；</w:t>
      </w:r>
    </w:p>
    <w:p>
      <w:pPr>
        <w:overflowPunct w:val="0"/>
        <w:snapToGrid w:val="0"/>
        <w:spacing w:line="594" w:lineRule="exact"/>
        <w:ind w:firstLine="640" w:firstLineChars="200"/>
        <w:rPr>
          <w:rFonts w:eastAsia="方正仿宋_GBK"/>
          <w:sz w:val="32"/>
          <w:szCs w:val="32"/>
        </w:rPr>
      </w:pPr>
      <w:r>
        <w:rPr>
          <w:rFonts w:eastAsia="方正仿宋_GBK"/>
          <w:sz w:val="32"/>
          <w:szCs w:val="32"/>
        </w:rPr>
        <w:t>8．预存土地复垦费用凭证及</w:t>
      </w:r>
      <w:r>
        <w:rPr>
          <w:rFonts w:hint="eastAsia" w:eastAsia="方正仿宋_GBK"/>
          <w:sz w:val="32"/>
          <w:szCs w:val="32"/>
        </w:rPr>
        <w:t>使用监管协议；</w:t>
      </w:r>
    </w:p>
    <w:p>
      <w:pPr>
        <w:overflowPunct w:val="0"/>
        <w:snapToGrid w:val="0"/>
        <w:spacing w:line="594" w:lineRule="exact"/>
        <w:ind w:firstLine="640" w:firstLineChars="200"/>
        <w:rPr>
          <w:rFonts w:eastAsia="方正仿宋_GBK"/>
          <w:sz w:val="32"/>
          <w:szCs w:val="32"/>
        </w:rPr>
      </w:pPr>
      <w:r>
        <w:rPr>
          <w:rFonts w:hint="eastAsia" w:eastAsia="方正仿宋_GBK"/>
          <w:sz w:val="32"/>
          <w:szCs w:val="32"/>
        </w:rPr>
        <w:t>9</w:t>
      </w:r>
      <w:r>
        <w:rPr>
          <w:rFonts w:eastAsia="方正仿宋_GBK"/>
          <w:sz w:val="32"/>
          <w:szCs w:val="32"/>
        </w:rPr>
        <w:t>．其他必要的材料。</w:t>
      </w:r>
    </w:p>
    <w:p>
      <w:pPr>
        <w:overflowPunct w:val="0"/>
        <w:snapToGrid w:val="0"/>
        <w:spacing w:line="594" w:lineRule="exact"/>
        <w:ind w:firstLine="640" w:firstLineChars="200"/>
        <w:rPr>
          <w:rFonts w:eastAsia="方正仿宋_GBK"/>
          <w:sz w:val="32"/>
          <w:szCs w:val="32"/>
        </w:rPr>
      </w:pPr>
    </w:p>
    <w:p>
      <w:pPr>
        <w:overflowPunct w:val="0"/>
        <w:snapToGrid w:val="0"/>
        <w:spacing w:line="594" w:lineRule="exact"/>
        <w:ind w:firstLine="640" w:firstLineChars="200"/>
        <w:rPr>
          <w:rFonts w:eastAsia="方正仿宋_GBK"/>
          <w:sz w:val="32"/>
          <w:szCs w:val="32"/>
        </w:rPr>
      </w:pPr>
    </w:p>
    <w:p>
      <w:pPr>
        <w:overflowPunct w:val="0"/>
        <w:snapToGrid w:val="0"/>
        <w:spacing w:line="594" w:lineRule="exact"/>
        <w:ind w:firstLine="640" w:firstLineChars="200"/>
        <w:rPr>
          <w:rFonts w:eastAsia="方正仿宋_GBK"/>
          <w:sz w:val="32"/>
          <w:szCs w:val="32"/>
        </w:rPr>
      </w:pPr>
    </w:p>
    <w:p>
      <w:pPr>
        <w:overflowPunct w:val="0"/>
      </w:pPr>
    </w:p>
    <w:p>
      <w:pPr>
        <w:overflowPunct w:val="0"/>
        <w:spacing w:line="360" w:lineRule="auto"/>
        <w:rPr>
          <w:rFonts w:eastAsia="方正黑体_GBK"/>
          <w:sz w:val="32"/>
          <w:szCs w:val="32"/>
        </w:rPr>
      </w:pPr>
    </w:p>
    <w:p>
      <w:pPr>
        <w:overflowPunct w:val="0"/>
        <w:jc w:val="center"/>
        <w:rPr>
          <w:rFonts w:eastAsia="方正小标宋_GBK"/>
          <w:sz w:val="44"/>
          <w:szCs w:val="44"/>
        </w:rPr>
      </w:pPr>
    </w:p>
    <w:p>
      <w:pPr>
        <w:overflowPunct w:val="0"/>
        <w:jc w:val="center"/>
        <w:rPr>
          <w:rFonts w:eastAsia="方正小标宋_GBK"/>
          <w:sz w:val="44"/>
          <w:szCs w:val="44"/>
        </w:rPr>
      </w:pPr>
    </w:p>
    <w:p>
      <w:pPr>
        <w:overflowPunct w:val="0"/>
        <w:jc w:val="center"/>
        <w:rPr>
          <w:rFonts w:ascii="宋体" w:hAnsi="宋体"/>
          <w:sz w:val="24"/>
        </w:rPr>
      </w:pPr>
      <w:r>
        <w:rPr>
          <w:rFonts w:hint="eastAsia" w:eastAsia="方正小标宋_GBK"/>
          <w:sz w:val="44"/>
          <w:szCs w:val="44"/>
        </w:rPr>
        <w:t xml:space="preserve">临时用地申请表 </w:t>
      </w:r>
    </w:p>
    <w:tbl>
      <w:tblPr>
        <w:tblStyle w:val="6"/>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317"/>
        <w:gridCol w:w="1455"/>
        <w:gridCol w:w="2089"/>
        <w:gridCol w:w="456"/>
        <w:gridCol w:w="126"/>
        <w:gridCol w:w="410"/>
        <w:gridCol w:w="1750"/>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4" w:hRule="atLeast"/>
          <w:jc w:val="center"/>
        </w:trPr>
        <w:tc>
          <w:tcPr>
            <w:tcW w:w="662" w:type="dxa"/>
            <w:vMerge w:val="restart"/>
            <w:tcBorders>
              <w:left w:val="single" w:color="auto" w:sz="4" w:space="0"/>
              <w:right w:val="single" w:color="auto" w:sz="4" w:space="0"/>
            </w:tcBorders>
            <w:vAlign w:val="center"/>
          </w:tcPr>
          <w:p>
            <w:pPr>
              <w:overflowPunct w:val="0"/>
              <w:jc w:val="center"/>
              <w:rPr>
                <w:rFonts w:ascii="宋体" w:hAnsi="宋体"/>
                <w:sz w:val="24"/>
              </w:rPr>
            </w:pPr>
            <w:r>
              <w:rPr>
                <w:rFonts w:hint="eastAsia" w:ascii="宋体" w:hAnsi="宋体"/>
                <w:sz w:val="24"/>
              </w:rPr>
              <w:t>临时</w:t>
            </w:r>
          </w:p>
          <w:p>
            <w:pPr>
              <w:overflowPunct w:val="0"/>
              <w:jc w:val="center"/>
              <w:rPr>
                <w:rFonts w:ascii="宋体" w:hAnsi="宋体"/>
                <w:sz w:val="24"/>
              </w:rPr>
            </w:pPr>
            <w:r>
              <w:rPr>
                <w:rFonts w:hint="eastAsia" w:ascii="宋体" w:hAnsi="宋体"/>
                <w:sz w:val="24"/>
              </w:rPr>
              <w:t>用地</w:t>
            </w:r>
          </w:p>
          <w:p>
            <w:pPr>
              <w:overflowPunct w:val="0"/>
              <w:jc w:val="center"/>
              <w:rPr>
                <w:rFonts w:ascii="宋体" w:hAnsi="宋体"/>
                <w:sz w:val="24"/>
              </w:rPr>
            </w:pPr>
            <w:r>
              <w:rPr>
                <w:rFonts w:hint="eastAsia" w:ascii="宋体" w:hAnsi="宋体"/>
                <w:sz w:val="24"/>
              </w:rPr>
              <w:t>单位</w:t>
            </w:r>
          </w:p>
          <w:p>
            <w:pPr>
              <w:overflowPunct w:val="0"/>
              <w:jc w:val="center"/>
              <w:rPr>
                <w:rFonts w:ascii="宋体" w:hAnsi="宋体"/>
                <w:sz w:val="24"/>
              </w:rPr>
            </w:pPr>
            <w:r>
              <w:rPr>
                <w:rFonts w:hint="eastAsia" w:ascii="宋体" w:hAnsi="宋体"/>
                <w:sz w:val="24"/>
              </w:rPr>
              <w:t>情况</w:t>
            </w:r>
          </w:p>
        </w:tc>
        <w:tc>
          <w:tcPr>
            <w:tcW w:w="1772" w:type="dxa"/>
            <w:gridSpan w:val="2"/>
            <w:tcBorders>
              <w:left w:val="single" w:color="auto" w:sz="4" w:space="0"/>
            </w:tcBorders>
            <w:vAlign w:val="center"/>
          </w:tcPr>
          <w:p>
            <w:pPr>
              <w:overflowPunct w:val="0"/>
              <w:jc w:val="center"/>
              <w:rPr>
                <w:rFonts w:ascii="宋体" w:hAnsi="宋体"/>
                <w:sz w:val="24"/>
              </w:rPr>
            </w:pPr>
            <w:r>
              <w:rPr>
                <w:rFonts w:hint="eastAsia" w:ascii="宋体" w:hAnsi="宋体"/>
                <w:sz w:val="24"/>
              </w:rPr>
              <w:t>单位名称</w:t>
            </w:r>
          </w:p>
        </w:tc>
        <w:tc>
          <w:tcPr>
            <w:tcW w:w="7120" w:type="dxa"/>
            <w:gridSpan w:val="6"/>
            <w:tcBorders>
              <w:bottom w:val="single" w:color="auto" w:sz="4" w:space="0"/>
              <w:right w:val="single" w:color="auto" w:sz="4" w:space="0"/>
            </w:tcBorders>
            <w:vAlign w:val="center"/>
          </w:tcPr>
          <w:p>
            <w:pPr>
              <w:overflowPunct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tcBorders>
              <w:left w:val="single" w:color="auto" w:sz="4" w:space="0"/>
            </w:tcBorders>
            <w:vAlign w:val="center"/>
          </w:tcPr>
          <w:p>
            <w:pPr>
              <w:overflowPunct w:val="0"/>
              <w:jc w:val="center"/>
              <w:rPr>
                <w:rFonts w:ascii="宋体" w:hAnsi="宋体"/>
                <w:sz w:val="24"/>
              </w:rPr>
            </w:pPr>
            <w:r>
              <w:rPr>
                <w:rFonts w:hint="eastAsia" w:ascii="宋体" w:hAnsi="宋体"/>
                <w:sz w:val="24"/>
              </w:rPr>
              <w:t>统一社会信用</w:t>
            </w:r>
          </w:p>
          <w:p>
            <w:pPr>
              <w:overflowPunct w:val="0"/>
              <w:jc w:val="center"/>
              <w:rPr>
                <w:rFonts w:ascii="宋体" w:hAnsi="宋体"/>
                <w:sz w:val="24"/>
              </w:rPr>
            </w:pPr>
            <w:r>
              <w:rPr>
                <w:rFonts w:hint="eastAsia" w:ascii="宋体" w:hAnsi="宋体"/>
                <w:sz w:val="24"/>
              </w:rPr>
              <w:t>代码</w:t>
            </w:r>
          </w:p>
        </w:tc>
        <w:tc>
          <w:tcPr>
            <w:tcW w:w="7120" w:type="dxa"/>
            <w:gridSpan w:val="6"/>
            <w:tcBorders>
              <w:bottom w:val="single" w:color="auto" w:sz="4" w:space="0"/>
              <w:right w:val="single" w:color="auto" w:sz="4" w:space="0"/>
            </w:tcBorders>
            <w:vAlign w:val="center"/>
          </w:tcPr>
          <w:p>
            <w:pPr>
              <w:overflowPunct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8"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tcBorders>
              <w:left w:val="single" w:color="auto" w:sz="4" w:space="0"/>
            </w:tcBorders>
            <w:vAlign w:val="center"/>
          </w:tcPr>
          <w:p>
            <w:pPr>
              <w:overflowPunct w:val="0"/>
              <w:jc w:val="center"/>
              <w:rPr>
                <w:rFonts w:ascii="宋体" w:hAnsi="宋体"/>
                <w:sz w:val="24"/>
              </w:rPr>
            </w:pPr>
            <w:r>
              <w:rPr>
                <w:rFonts w:hint="eastAsia" w:ascii="宋体" w:hAnsi="宋体"/>
                <w:sz w:val="24"/>
              </w:rPr>
              <w:t>地址</w:t>
            </w:r>
          </w:p>
        </w:tc>
        <w:tc>
          <w:tcPr>
            <w:tcW w:w="7120" w:type="dxa"/>
            <w:gridSpan w:val="6"/>
            <w:tcBorders>
              <w:bottom w:val="single" w:color="auto" w:sz="4" w:space="0"/>
              <w:right w:val="single" w:color="auto" w:sz="4" w:space="0"/>
            </w:tcBorders>
            <w:vAlign w:val="center"/>
          </w:tcPr>
          <w:p>
            <w:pPr>
              <w:overflowPunct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8"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tcBorders>
              <w:left w:val="single" w:color="auto" w:sz="4" w:space="0"/>
              <w:bottom w:val="single" w:color="auto" w:sz="4" w:space="0"/>
            </w:tcBorders>
            <w:vAlign w:val="center"/>
          </w:tcPr>
          <w:p>
            <w:pPr>
              <w:overflowPunct w:val="0"/>
              <w:jc w:val="center"/>
              <w:rPr>
                <w:rFonts w:ascii="宋体" w:hAnsi="宋体"/>
                <w:sz w:val="24"/>
              </w:rPr>
            </w:pPr>
            <w:r>
              <w:rPr>
                <w:rFonts w:hint="eastAsia" w:ascii="宋体" w:hAnsi="宋体"/>
                <w:sz w:val="24"/>
              </w:rPr>
              <w:t>法定代表人</w:t>
            </w:r>
          </w:p>
        </w:tc>
        <w:tc>
          <w:tcPr>
            <w:tcW w:w="7120" w:type="dxa"/>
            <w:gridSpan w:val="6"/>
            <w:tcBorders>
              <w:bottom w:val="single" w:color="auto" w:sz="4" w:space="0"/>
              <w:right w:val="single" w:color="auto" w:sz="4" w:space="0"/>
            </w:tcBorders>
            <w:vAlign w:val="center"/>
          </w:tcPr>
          <w:p>
            <w:pPr>
              <w:overflowPunct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tcBorders>
              <w:left w:val="single" w:color="auto" w:sz="4" w:space="0"/>
              <w:bottom w:val="single" w:color="auto" w:sz="4" w:space="0"/>
              <w:right w:val="single" w:color="auto" w:sz="4" w:space="0"/>
            </w:tcBorders>
            <w:vAlign w:val="center"/>
          </w:tcPr>
          <w:p>
            <w:pPr>
              <w:overflowPunct w:val="0"/>
              <w:ind w:firstLine="360" w:firstLineChars="150"/>
              <w:rPr>
                <w:rFonts w:ascii="宋体" w:hAnsi="宋体"/>
                <w:sz w:val="24"/>
              </w:rPr>
            </w:pPr>
            <w:r>
              <w:rPr>
                <w:rFonts w:hint="eastAsia" w:ascii="宋体" w:hAnsi="宋体"/>
                <w:sz w:val="24"/>
              </w:rPr>
              <w:t xml:space="preserve">单位联系人                    </w:t>
            </w:r>
          </w:p>
        </w:tc>
        <w:tc>
          <w:tcPr>
            <w:tcW w:w="2671" w:type="dxa"/>
            <w:gridSpan w:val="3"/>
            <w:tcBorders>
              <w:left w:val="single" w:color="auto" w:sz="4" w:space="0"/>
              <w:bottom w:val="single" w:color="auto" w:sz="4" w:space="0"/>
              <w:right w:val="single" w:color="auto" w:sz="4" w:space="0"/>
            </w:tcBorders>
            <w:vAlign w:val="center"/>
          </w:tcPr>
          <w:p>
            <w:pPr>
              <w:overflowPunct w:val="0"/>
              <w:ind w:firstLine="360" w:firstLineChars="150"/>
              <w:rPr>
                <w:rFonts w:ascii="宋体" w:hAnsi="宋体"/>
                <w:sz w:val="24"/>
              </w:rPr>
            </w:pPr>
          </w:p>
        </w:tc>
        <w:tc>
          <w:tcPr>
            <w:tcW w:w="2160" w:type="dxa"/>
            <w:gridSpan w:val="2"/>
            <w:tcBorders>
              <w:left w:val="single" w:color="auto" w:sz="4" w:space="0"/>
              <w:bottom w:val="single" w:color="auto" w:sz="4" w:space="0"/>
              <w:right w:val="single" w:color="auto" w:sz="4" w:space="0"/>
            </w:tcBorders>
            <w:vAlign w:val="center"/>
          </w:tcPr>
          <w:p>
            <w:pPr>
              <w:overflowPunct w:val="0"/>
              <w:ind w:firstLine="360" w:firstLineChars="150"/>
              <w:rPr>
                <w:rFonts w:ascii="宋体" w:hAnsi="宋体"/>
                <w:sz w:val="24"/>
              </w:rPr>
            </w:pPr>
            <w:r>
              <w:rPr>
                <w:rFonts w:hint="eastAsia" w:ascii="宋体" w:hAnsi="宋体"/>
                <w:sz w:val="24"/>
              </w:rPr>
              <w:t>联系电话</w:t>
            </w:r>
          </w:p>
        </w:tc>
        <w:tc>
          <w:tcPr>
            <w:tcW w:w="2289" w:type="dxa"/>
            <w:tcBorders>
              <w:left w:val="single" w:color="auto" w:sz="4" w:space="0"/>
              <w:bottom w:val="single" w:color="auto" w:sz="4" w:space="0"/>
              <w:right w:val="single" w:color="auto" w:sz="4" w:space="0"/>
            </w:tcBorders>
            <w:vAlign w:val="center"/>
          </w:tcPr>
          <w:p>
            <w:pPr>
              <w:overflowPunct w:val="0"/>
              <w:ind w:firstLine="360" w:firstLineChars="1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62" w:type="dxa"/>
            <w:vMerge w:val="restart"/>
            <w:tcBorders>
              <w:left w:val="single" w:color="auto" w:sz="4" w:space="0"/>
              <w:right w:val="single" w:color="auto" w:sz="4" w:space="0"/>
            </w:tcBorders>
            <w:vAlign w:val="center"/>
          </w:tcPr>
          <w:p>
            <w:pPr>
              <w:overflowPunct w:val="0"/>
              <w:jc w:val="center"/>
              <w:rPr>
                <w:rFonts w:ascii="宋体" w:hAnsi="宋体"/>
                <w:sz w:val="24"/>
              </w:rPr>
            </w:pPr>
            <w:r>
              <w:rPr>
                <w:rFonts w:ascii="宋体" w:hAnsi="宋体"/>
                <w:sz w:val="24"/>
              </w:rPr>
              <w:t>项目概况</w:t>
            </w:r>
          </w:p>
        </w:tc>
        <w:tc>
          <w:tcPr>
            <w:tcW w:w="1772" w:type="dxa"/>
            <w:gridSpan w:val="2"/>
            <w:tcBorders>
              <w:left w:val="single" w:color="auto" w:sz="4" w:space="0"/>
              <w:bottom w:val="single" w:color="auto" w:sz="4" w:space="0"/>
              <w:right w:val="single" w:color="auto" w:sz="4" w:space="0"/>
            </w:tcBorders>
            <w:vAlign w:val="center"/>
          </w:tcPr>
          <w:p>
            <w:pPr>
              <w:overflowPunct w:val="0"/>
              <w:ind w:firstLine="360" w:firstLineChars="150"/>
              <w:rPr>
                <w:rFonts w:ascii="宋体" w:hAnsi="宋体"/>
                <w:sz w:val="24"/>
              </w:rPr>
            </w:pPr>
            <w:r>
              <w:rPr>
                <w:rFonts w:hint="eastAsia" w:ascii="宋体" w:hAnsi="宋体"/>
                <w:sz w:val="24"/>
              </w:rPr>
              <w:t>项目类型</w:t>
            </w:r>
          </w:p>
        </w:tc>
        <w:tc>
          <w:tcPr>
            <w:tcW w:w="7120" w:type="dxa"/>
            <w:gridSpan w:val="6"/>
            <w:tcBorders>
              <w:left w:val="single" w:color="auto" w:sz="4" w:space="0"/>
              <w:bottom w:val="single" w:color="auto" w:sz="4" w:space="0"/>
              <w:right w:val="single" w:color="auto" w:sz="4" w:space="0"/>
            </w:tcBorders>
            <w:vAlign w:val="center"/>
          </w:tcPr>
          <w:p>
            <w:pPr>
              <w:overflowPunct w:val="0"/>
              <w:ind w:firstLine="360" w:firstLineChars="150"/>
              <w:jc w:val="center"/>
              <w:rPr>
                <w:rFonts w:ascii="宋体" w:hAnsi="宋体"/>
                <w:sz w:val="24"/>
              </w:rPr>
            </w:pPr>
            <w:r>
              <w:rPr>
                <w:rFonts w:hint="eastAsia" w:ascii="宋体" w:hAnsi="宋体"/>
                <w:sz w:val="24"/>
              </w:rPr>
              <w:t>□能源交通水利等基础设施项目    □其他项目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tcBorders>
              <w:left w:val="single" w:color="auto" w:sz="4" w:space="0"/>
              <w:bottom w:val="single" w:color="auto" w:sz="4" w:space="0"/>
              <w:right w:val="single" w:color="auto" w:sz="4" w:space="0"/>
            </w:tcBorders>
            <w:vAlign w:val="center"/>
          </w:tcPr>
          <w:p>
            <w:pPr>
              <w:overflowPunct w:val="0"/>
              <w:ind w:firstLine="360" w:firstLineChars="150"/>
              <w:rPr>
                <w:rFonts w:ascii="宋体" w:hAnsi="宋体"/>
                <w:sz w:val="24"/>
              </w:rPr>
            </w:pPr>
            <w:r>
              <w:rPr>
                <w:rFonts w:hint="eastAsia" w:ascii="宋体" w:hAnsi="宋体"/>
                <w:sz w:val="24"/>
              </w:rPr>
              <w:t>项目名称</w:t>
            </w:r>
          </w:p>
        </w:tc>
        <w:tc>
          <w:tcPr>
            <w:tcW w:w="2671" w:type="dxa"/>
            <w:gridSpan w:val="3"/>
            <w:tcBorders>
              <w:left w:val="single" w:color="auto" w:sz="4" w:space="0"/>
              <w:bottom w:val="single" w:color="auto" w:sz="4" w:space="0"/>
              <w:right w:val="single" w:color="auto" w:sz="4" w:space="0"/>
            </w:tcBorders>
            <w:vAlign w:val="center"/>
          </w:tcPr>
          <w:p>
            <w:pPr>
              <w:overflowPunct w:val="0"/>
              <w:ind w:firstLine="360" w:firstLineChars="150"/>
              <w:jc w:val="center"/>
              <w:rPr>
                <w:rFonts w:ascii="宋体" w:hAnsi="宋体"/>
                <w:sz w:val="24"/>
              </w:rPr>
            </w:pPr>
          </w:p>
        </w:tc>
        <w:tc>
          <w:tcPr>
            <w:tcW w:w="2160" w:type="dxa"/>
            <w:gridSpan w:val="2"/>
            <w:tcBorders>
              <w:left w:val="single" w:color="auto" w:sz="4" w:space="0"/>
              <w:bottom w:val="single" w:color="auto" w:sz="4" w:space="0"/>
              <w:right w:val="single" w:color="auto" w:sz="4" w:space="0"/>
            </w:tcBorders>
            <w:vAlign w:val="center"/>
          </w:tcPr>
          <w:p>
            <w:pPr>
              <w:overflowPunct w:val="0"/>
              <w:jc w:val="center"/>
              <w:rPr>
                <w:rFonts w:ascii="宋体" w:hAnsi="宋体"/>
                <w:color w:val="000000"/>
                <w:sz w:val="24"/>
              </w:rPr>
            </w:pPr>
            <w:r>
              <w:rPr>
                <w:rFonts w:hint="eastAsia" w:ascii="宋体" w:hAnsi="宋体"/>
                <w:color w:val="000000"/>
                <w:sz w:val="24"/>
              </w:rPr>
              <w:t>投资项目统一代码</w:t>
            </w:r>
          </w:p>
        </w:tc>
        <w:tc>
          <w:tcPr>
            <w:tcW w:w="2289" w:type="dxa"/>
            <w:tcBorders>
              <w:left w:val="single" w:color="auto" w:sz="4" w:space="0"/>
              <w:bottom w:val="single" w:color="auto" w:sz="4" w:space="0"/>
              <w:right w:val="single" w:color="auto" w:sz="4" w:space="0"/>
            </w:tcBorders>
            <w:vAlign w:val="center"/>
          </w:tcPr>
          <w:p>
            <w:pPr>
              <w:overflowPunct w:val="0"/>
              <w:ind w:firstLine="360" w:firstLineChars="1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tcBorders>
              <w:left w:val="single" w:color="auto" w:sz="4" w:space="0"/>
              <w:bottom w:val="single" w:color="auto" w:sz="4" w:space="0"/>
              <w:right w:val="single" w:color="auto" w:sz="4" w:space="0"/>
            </w:tcBorders>
            <w:vAlign w:val="center"/>
          </w:tcPr>
          <w:p>
            <w:pPr>
              <w:overflowPunct w:val="0"/>
              <w:jc w:val="center"/>
              <w:rPr>
                <w:rFonts w:ascii="宋体" w:hAnsi="宋体"/>
                <w:sz w:val="24"/>
              </w:rPr>
            </w:pPr>
            <w:r>
              <w:rPr>
                <w:rFonts w:hint="eastAsia" w:ascii="宋体" w:hAnsi="宋体"/>
                <w:sz w:val="24"/>
              </w:rPr>
              <w:t>建设用地批准</w:t>
            </w:r>
          </w:p>
          <w:p>
            <w:pPr>
              <w:overflowPunct w:val="0"/>
              <w:jc w:val="center"/>
            </w:pPr>
            <w:r>
              <w:rPr>
                <w:rFonts w:hint="eastAsia" w:ascii="宋体" w:hAnsi="宋体"/>
                <w:sz w:val="24"/>
              </w:rPr>
              <w:t>文号</w:t>
            </w:r>
          </w:p>
        </w:tc>
        <w:tc>
          <w:tcPr>
            <w:tcW w:w="2671" w:type="dxa"/>
            <w:gridSpan w:val="3"/>
            <w:tcBorders>
              <w:left w:val="single" w:color="auto" w:sz="4" w:space="0"/>
              <w:bottom w:val="single" w:color="auto" w:sz="4" w:space="0"/>
              <w:right w:val="single" w:color="auto" w:sz="4" w:space="0"/>
            </w:tcBorders>
            <w:vAlign w:val="center"/>
          </w:tcPr>
          <w:p>
            <w:pPr>
              <w:overflowPunct w:val="0"/>
              <w:ind w:firstLine="360" w:firstLineChars="150"/>
              <w:jc w:val="center"/>
              <w:rPr>
                <w:rFonts w:ascii="宋体" w:hAnsi="宋体"/>
                <w:sz w:val="24"/>
              </w:rPr>
            </w:pPr>
          </w:p>
        </w:tc>
        <w:tc>
          <w:tcPr>
            <w:tcW w:w="2160" w:type="dxa"/>
            <w:gridSpan w:val="2"/>
            <w:tcBorders>
              <w:left w:val="single" w:color="auto" w:sz="4" w:space="0"/>
              <w:bottom w:val="single" w:color="auto" w:sz="4" w:space="0"/>
              <w:right w:val="single" w:color="auto" w:sz="4" w:space="0"/>
            </w:tcBorders>
            <w:vAlign w:val="center"/>
          </w:tcPr>
          <w:p>
            <w:pPr>
              <w:overflowPunct w:val="0"/>
              <w:jc w:val="center"/>
              <w:rPr>
                <w:rFonts w:ascii="宋体" w:hAnsi="宋体"/>
                <w:sz w:val="24"/>
              </w:rPr>
            </w:pPr>
            <w:r>
              <w:rPr>
                <w:rFonts w:hint="eastAsia" w:ascii="宋体" w:hAnsi="宋体"/>
                <w:sz w:val="24"/>
              </w:rPr>
              <w:t>批准建设用地面积（公顷）</w:t>
            </w:r>
          </w:p>
        </w:tc>
        <w:tc>
          <w:tcPr>
            <w:tcW w:w="2289" w:type="dxa"/>
            <w:tcBorders>
              <w:left w:val="single" w:color="auto" w:sz="4" w:space="0"/>
              <w:bottom w:val="single" w:color="auto" w:sz="4" w:space="0"/>
              <w:right w:val="single" w:color="auto" w:sz="4" w:space="0"/>
            </w:tcBorders>
            <w:vAlign w:val="center"/>
          </w:tcPr>
          <w:p>
            <w:pPr>
              <w:overflowPunct w:val="0"/>
              <w:ind w:firstLine="360" w:firstLineChars="1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9" w:hRule="atLeast"/>
          <w:jc w:val="center"/>
        </w:trPr>
        <w:tc>
          <w:tcPr>
            <w:tcW w:w="662" w:type="dxa"/>
            <w:vMerge w:val="restart"/>
            <w:tcBorders>
              <w:left w:val="single" w:color="auto" w:sz="4" w:space="0"/>
              <w:right w:val="single" w:color="auto" w:sz="4" w:space="0"/>
            </w:tcBorders>
            <w:vAlign w:val="center"/>
          </w:tcPr>
          <w:p>
            <w:pPr>
              <w:overflowPunct w:val="0"/>
              <w:jc w:val="center"/>
              <w:rPr>
                <w:rFonts w:ascii="宋体" w:hAnsi="宋体"/>
                <w:sz w:val="24"/>
              </w:rPr>
            </w:pPr>
            <w:r>
              <w:rPr>
                <w:rFonts w:hint="eastAsia" w:ascii="宋体" w:hAnsi="宋体"/>
                <w:color w:val="000000"/>
                <w:sz w:val="24"/>
              </w:rPr>
              <w:t>临时用地项目</w:t>
            </w:r>
            <w:r>
              <w:rPr>
                <w:rFonts w:hint="eastAsia" w:ascii="宋体" w:hAnsi="宋体"/>
                <w:sz w:val="24"/>
              </w:rPr>
              <w:t>情况</w:t>
            </w:r>
          </w:p>
        </w:tc>
        <w:tc>
          <w:tcPr>
            <w:tcW w:w="1772" w:type="dxa"/>
            <w:gridSpan w:val="2"/>
            <w:tcBorders>
              <w:left w:val="single" w:color="auto" w:sz="4" w:space="0"/>
              <w:bottom w:val="single" w:color="auto" w:sz="4" w:space="0"/>
              <w:right w:val="single" w:color="auto" w:sz="2" w:space="0"/>
            </w:tcBorders>
            <w:vAlign w:val="center"/>
          </w:tcPr>
          <w:p>
            <w:pPr>
              <w:overflowPunct w:val="0"/>
              <w:jc w:val="center"/>
              <w:rPr>
                <w:rFonts w:ascii="宋体" w:hAnsi="宋体"/>
                <w:color w:val="000000"/>
                <w:sz w:val="24"/>
              </w:rPr>
            </w:pPr>
            <w:r>
              <w:rPr>
                <w:rFonts w:hint="eastAsia" w:ascii="宋体" w:hAnsi="宋体"/>
                <w:color w:val="000000"/>
                <w:sz w:val="24"/>
              </w:rPr>
              <w:t>临时用地</w:t>
            </w:r>
          </w:p>
          <w:p>
            <w:pPr>
              <w:overflowPunct w:val="0"/>
              <w:jc w:val="center"/>
              <w:rPr>
                <w:rFonts w:ascii="宋体" w:hAnsi="宋体"/>
                <w:color w:val="000000"/>
                <w:sz w:val="24"/>
              </w:rPr>
            </w:pPr>
            <w:r>
              <w:rPr>
                <w:rFonts w:hint="eastAsia" w:ascii="宋体" w:hAnsi="宋体"/>
                <w:color w:val="000000"/>
                <w:sz w:val="24"/>
              </w:rPr>
              <w:t>项目名称</w:t>
            </w:r>
          </w:p>
        </w:tc>
        <w:tc>
          <w:tcPr>
            <w:tcW w:w="2671" w:type="dxa"/>
            <w:gridSpan w:val="3"/>
            <w:tcBorders>
              <w:left w:val="single" w:color="auto" w:sz="2" w:space="0"/>
              <w:bottom w:val="single" w:color="auto" w:sz="4" w:space="0"/>
              <w:right w:val="single" w:color="auto" w:sz="4" w:space="0"/>
            </w:tcBorders>
            <w:vAlign w:val="center"/>
          </w:tcPr>
          <w:p>
            <w:pPr>
              <w:overflowPunct w:val="0"/>
              <w:spacing w:line="360" w:lineRule="auto"/>
              <w:jc w:val="center"/>
              <w:rPr>
                <w:rFonts w:ascii="宋体" w:hAnsi="宋体"/>
                <w:color w:val="000000"/>
                <w:sz w:val="24"/>
              </w:rPr>
            </w:pPr>
          </w:p>
        </w:tc>
        <w:tc>
          <w:tcPr>
            <w:tcW w:w="2160" w:type="dxa"/>
            <w:gridSpan w:val="2"/>
            <w:tcBorders>
              <w:left w:val="single" w:color="auto" w:sz="2" w:space="0"/>
              <w:bottom w:val="single" w:color="auto" w:sz="4" w:space="0"/>
              <w:right w:val="single" w:color="auto" w:sz="4" w:space="0"/>
            </w:tcBorders>
            <w:vAlign w:val="center"/>
          </w:tcPr>
          <w:p>
            <w:pPr>
              <w:overflowPunct w:val="0"/>
              <w:jc w:val="center"/>
              <w:rPr>
                <w:rFonts w:ascii="宋体" w:hAnsi="宋体"/>
                <w:color w:val="000000"/>
                <w:sz w:val="24"/>
              </w:rPr>
            </w:pPr>
            <w:r>
              <w:rPr>
                <w:rFonts w:hint="eastAsia" w:ascii="宋体" w:hAnsi="宋体"/>
                <w:sz w:val="24"/>
              </w:rPr>
              <w:t>申请临时用地总面积（公顷）</w:t>
            </w:r>
          </w:p>
        </w:tc>
        <w:tc>
          <w:tcPr>
            <w:tcW w:w="2289" w:type="dxa"/>
            <w:tcBorders>
              <w:left w:val="single" w:color="auto" w:sz="2" w:space="0"/>
              <w:bottom w:val="single" w:color="auto" w:sz="4" w:space="0"/>
              <w:right w:val="single" w:color="auto" w:sz="4" w:space="0"/>
            </w:tcBorders>
            <w:vAlign w:val="center"/>
          </w:tcPr>
          <w:p>
            <w:pPr>
              <w:overflowPunct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7"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color w:val="000000"/>
                <w:sz w:val="24"/>
              </w:rPr>
            </w:pPr>
          </w:p>
        </w:tc>
        <w:tc>
          <w:tcPr>
            <w:tcW w:w="1772" w:type="dxa"/>
            <w:gridSpan w:val="2"/>
            <w:tcBorders>
              <w:left w:val="single" w:color="auto" w:sz="4" w:space="0"/>
              <w:bottom w:val="single" w:color="auto" w:sz="4" w:space="0"/>
              <w:right w:val="single" w:color="auto" w:sz="2" w:space="0"/>
            </w:tcBorders>
            <w:vAlign w:val="center"/>
          </w:tcPr>
          <w:p>
            <w:pPr>
              <w:overflowPunct w:val="0"/>
              <w:jc w:val="center"/>
              <w:rPr>
                <w:rFonts w:ascii="宋体" w:hAnsi="宋体"/>
                <w:color w:val="000000"/>
                <w:sz w:val="24"/>
              </w:rPr>
            </w:pPr>
            <w:r>
              <w:rPr>
                <w:rFonts w:hint="eastAsia" w:ascii="宋体" w:hAnsi="宋体"/>
                <w:color w:val="000000"/>
                <w:sz w:val="24"/>
              </w:rPr>
              <w:t>地址</w:t>
            </w:r>
          </w:p>
        </w:tc>
        <w:tc>
          <w:tcPr>
            <w:tcW w:w="7120" w:type="dxa"/>
            <w:gridSpan w:val="6"/>
            <w:tcBorders>
              <w:left w:val="single" w:color="auto" w:sz="2" w:space="0"/>
              <w:bottom w:val="single" w:color="auto" w:sz="4" w:space="0"/>
              <w:right w:val="single" w:color="auto" w:sz="4" w:space="0"/>
            </w:tcBorders>
            <w:vAlign w:val="center"/>
          </w:tcPr>
          <w:p>
            <w:pPr>
              <w:overflowPunct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44"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color w:val="000000"/>
                <w:sz w:val="24"/>
              </w:rPr>
            </w:pPr>
          </w:p>
        </w:tc>
        <w:tc>
          <w:tcPr>
            <w:tcW w:w="1772" w:type="dxa"/>
            <w:gridSpan w:val="2"/>
            <w:tcBorders>
              <w:left w:val="single" w:color="auto" w:sz="4" w:space="0"/>
              <w:bottom w:val="single" w:color="auto" w:sz="4" w:space="0"/>
              <w:right w:val="single" w:color="auto" w:sz="2" w:space="0"/>
            </w:tcBorders>
            <w:vAlign w:val="center"/>
          </w:tcPr>
          <w:p>
            <w:pPr>
              <w:overflowPunct w:val="0"/>
              <w:spacing w:line="360" w:lineRule="auto"/>
              <w:jc w:val="center"/>
              <w:rPr>
                <w:rFonts w:ascii="宋体" w:hAnsi="宋体"/>
                <w:color w:val="000000"/>
                <w:sz w:val="24"/>
              </w:rPr>
            </w:pPr>
            <w:r>
              <w:rPr>
                <w:rFonts w:ascii="宋体" w:hAnsi="宋体"/>
                <w:sz w:val="24"/>
              </w:rPr>
              <w:t>选址情况</w:t>
            </w:r>
          </w:p>
        </w:tc>
        <w:tc>
          <w:tcPr>
            <w:tcW w:w="7120" w:type="dxa"/>
            <w:gridSpan w:val="6"/>
            <w:tcBorders>
              <w:left w:val="single" w:color="auto" w:sz="2" w:space="0"/>
              <w:bottom w:val="single" w:color="auto" w:sz="4" w:space="0"/>
              <w:right w:val="single" w:color="auto" w:sz="4" w:space="0"/>
            </w:tcBorders>
            <w:vAlign w:val="center"/>
          </w:tcPr>
          <w:p>
            <w:pPr>
              <w:overflowPunct w:val="0"/>
              <w:spacing w:line="360" w:lineRule="auto"/>
              <w:ind w:left="210" w:leftChars="100"/>
              <w:rPr>
                <w:rFonts w:ascii="宋体" w:hAnsi="宋体"/>
                <w:color w:val="000000"/>
                <w:sz w:val="24"/>
              </w:rPr>
            </w:pPr>
            <w:r>
              <w:rPr>
                <w:rFonts w:hint="eastAsia" w:ascii="宋体" w:hAnsi="宋体"/>
                <w:sz w:val="24"/>
              </w:rPr>
              <w:t>□</w:t>
            </w:r>
            <w:r>
              <w:rPr>
                <w:rFonts w:ascii="宋体" w:hAnsi="宋体"/>
                <w:sz w:val="24"/>
              </w:rPr>
              <w:t>占用耕地</w:t>
            </w:r>
            <w:r>
              <w:rPr>
                <w:rFonts w:hint="eastAsia" w:ascii="宋体" w:hAnsi="宋体"/>
                <w:color w:val="000000"/>
                <w:sz w:val="24"/>
              </w:rPr>
              <w:t>（</w:t>
            </w:r>
            <w:r>
              <w:rPr>
                <w:rFonts w:hint="eastAsia" w:ascii="宋体" w:hAnsi="宋体"/>
                <w:sz w:val="24"/>
              </w:rPr>
              <w:t>□</w:t>
            </w:r>
            <w:r>
              <w:rPr>
                <w:rFonts w:hint="eastAsia" w:ascii="宋体" w:hAnsi="宋体"/>
                <w:color w:val="000000"/>
                <w:sz w:val="24"/>
              </w:rPr>
              <w:t xml:space="preserve">占用永久基本农田  </w:t>
            </w:r>
            <w:r>
              <w:rPr>
                <w:rFonts w:hint="eastAsia" w:ascii="宋体" w:hAnsi="宋体"/>
                <w:sz w:val="24"/>
              </w:rPr>
              <w:t>□</w:t>
            </w:r>
            <w:r>
              <w:rPr>
                <w:rFonts w:hint="eastAsia" w:ascii="宋体" w:hAnsi="宋体"/>
                <w:color w:val="000000"/>
                <w:sz w:val="24"/>
              </w:rPr>
              <w:t>占用一般耕地）</w:t>
            </w:r>
          </w:p>
          <w:p>
            <w:pPr>
              <w:overflowPunct w:val="0"/>
              <w:spacing w:line="360" w:lineRule="auto"/>
              <w:ind w:left="210" w:leftChars="100"/>
              <w:rPr>
                <w:rFonts w:ascii="宋体" w:hAnsi="宋体"/>
                <w:color w:val="000000"/>
                <w:sz w:val="24"/>
              </w:rPr>
            </w:pPr>
            <w:r>
              <w:rPr>
                <w:rFonts w:hint="eastAsia" w:ascii="宋体" w:hAnsi="宋体"/>
                <w:sz w:val="24"/>
              </w:rPr>
              <w:t>□</w:t>
            </w:r>
            <w:r>
              <w:rPr>
                <w:rFonts w:hint="eastAsia" w:ascii="宋体" w:hAnsi="宋体"/>
                <w:color w:val="000000"/>
                <w:sz w:val="24"/>
              </w:rPr>
              <w:t>位于能源、交通、水利等工程保护范围内</w:t>
            </w:r>
          </w:p>
          <w:p>
            <w:pPr>
              <w:overflowPunct w:val="0"/>
              <w:spacing w:line="360" w:lineRule="auto"/>
              <w:ind w:left="210" w:leftChars="100"/>
              <w:rPr>
                <w:rFonts w:ascii="宋体" w:hAnsi="宋体"/>
                <w:color w:val="000000"/>
                <w:sz w:val="24"/>
              </w:rPr>
            </w:pPr>
            <w:r>
              <w:rPr>
                <w:rFonts w:hint="eastAsia" w:ascii="宋体" w:hAnsi="宋体"/>
                <w:sz w:val="24"/>
              </w:rPr>
              <w:t>□</w:t>
            </w:r>
            <w:r>
              <w:rPr>
                <w:rFonts w:hint="eastAsia" w:ascii="宋体" w:hAnsi="宋体"/>
                <w:color w:val="000000"/>
                <w:sz w:val="24"/>
              </w:rPr>
              <w:t>涉及占用林地、草地、湿地以及各类保护区等生态管控区域</w:t>
            </w:r>
          </w:p>
          <w:p>
            <w:pPr>
              <w:overflowPunct w:val="0"/>
              <w:spacing w:line="360" w:lineRule="auto"/>
              <w:ind w:left="210" w:leftChars="100"/>
              <w:rPr>
                <w:rFonts w:ascii="宋体" w:hAnsi="宋体"/>
                <w:color w:val="000000"/>
                <w:sz w:val="24"/>
              </w:rPr>
            </w:pPr>
            <w:r>
              <w:rPr>
                <w:rFonts w:hint="eastAsia" w:ascii="宋体" w:hAnsi="宋体"/>
                <w:sz w:val="24"/>
              </w:rPr>
              <w:t>□</w:t>
            </w:r>
            <w:r>
              <w:rPr>
                <w:rFonts w:hint="eastAsia" w:ascii="宋体" w:hAnsi="宋体"/>
                <w:color w:val="000000"/>
                <w:sz w:val="24"/>
              </w:rPr>
              <w:t>涉及占用储备土地</w:t>
            </w:r>
          </w:p>
          <w:p>
            <w:pPr>
              <w:overflowPunct w:val="0"/>
              <w:spacing w:line="360" w:lineRule="auto"/>
              <w:ind w:left="210" w:leftChars="100"/>
              <w:rPr>
                <w:rFonts w:ascii="宋体" w:hAnsi="宋体"/>
                <w:color w:val="000000"/>
                <w:sz w:val="24"/>
              </w:rPr>
            </w:pPr>
            <w:r>
              <w:rPr>
                <w:rFonts w:hint="eastAsia" w:ascii="宋体" w:hAnsi="宋体"/>
                <w:sz w:val="24"/>
              </w:rPr>
              <w:t>□</w:t>
            </w:r>
            <w:r>
              <w:rPr>
                <w:rFonts w:hint="eastAsia" w:ascii="宋体" w:hAnsi="宋体"/>
                <w:color w:val="000000"/>
                <w:sz w:val="24"/>
              </w:rPr>
              <w:t>位于地质灾害易发区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color w:val="000000"/>
                <w:sz w:val="24"/>
              </w:rPr>
            </w:pPr>
          </w:p>
        </w:tc>
        <w:tc>
          <w:tcPr>
            <w:tcW w:w="1772" w:type="dxa"/>
            <w:gridSpan w:val="2"/>
            <w:tcBorders>
              <w:left w:val="single" w:color="auto" w:sz="4" w:space="0"/>
              <w:bottom w:val="single" w:color="auto" w:sz="4" w:space="0"/>
              <w:right w:val="single" w:color="auto" w:sz="2" w:space="0"/>
            </w:tcBorders>
            <w:vAlign w:val="center"/>
          </w:tcPr>
          <w:p>
            <w:pPr>
              <w:overflowPunct w:val="0"/>
              <w:jc w:val="center"/>
              <w:rPr>
                <w:rFonts w:ascii="宋体" w:hAnsi="宋体"/>
                <w:sz w:val="24"/>
              </w:rPr>
            </w:pPr>
            <w:r>
              <w:rPr>
                <w:rFonts w:hint="eastAsia" w:ascii="宋体" w:hAnsi="宋体"/>
                <w:color w:val="000000"/>
                <w:sz w:val="24"/>
              </w:rPr>
              <w:t>使用期限</w:t>
            </w:r>
          </w:p>
        </w:tc>
        <w:tc>
          <w:tcPr>
            <w:tcW w:w="2545" w:type="dxa"/>
            <w:gridSpan w:val="2"/>
            <w:tcBorders>
              <w:left w:val="single" w:color="auto" w:sz="2" w:space="0"/>
              <w:bottom w:val="single" w:color="auto" w:sz="4" w:space="0"/>
              <w:right w:val="single" w:color="auto" w:sz="4" w:space="0"/>
            </w:tcBorders>
            <w:vAlign w:val="center"/>
          </w:tcPr>
          <w:p>
            <w:pPr>
              <w:overflowPunct w:val="0"/>
              <w:jc w:val="center"/>
              <w:rPr>
                <w:rFonts w:ascii="宋体" w:hAnsi="宋体"/>
                <w:sz w:val="24"/>
              </w:rPr>
            </w:pPr>
            <w:r>
              <w:rPr>
                <w:rFonts w:hint="eastAsia" w:ascii="宋体" w:hAnsi="宋体"/>
                <w:sz w:val="24"/>
              </w:rPr>
              <w:t xml:space="preserve">     年（    个月）</w:t>
            </w:r>
          </w:p>
        </w:tc>
        <w:tc>
          <w:tcPr>
            <w:tcW w:w="2286" w:type="dxa"/>
            <w:gridSpan w:val="3"/>
            <w:tcBorders>
              <w:left w:val="single" w:color="auto" w:sz="2" w:space="0"/>
              <w:bottom w:val="single" w:color="auto" w:sz="4" w:space="0"/>
              <w:right w:val="single" w:color="auto" w:sz="4" w:space="0"/>
            </w:tcBorders>
            <w:vAlign w:val="center"/>
          </w:tcPr>
          <w:p>
            <w:pPr>
              <w:overflowPunct w:val="0"/>
              <w:jc w:val="center"/>
              <w:rPr>
                <w:rFonts w:ascii="宋体" w:hAnsi="宋体"/>
                <w:sz w:val="24"/>
              </w:rPr>
            </w:pPr>
            <w:r>
              <w:rPr>
                <w:rFonts w:hint="eastAsia" w:ascii="宋体" w:hAnsi="宋体"/>
                <w:sz w:val="24"/>
              </w:rPr>
              <w:t>补偿费用</w:t>
            </w:r>
          </w:p>
          <w:p>
            <w:pPr>
              <w:overflowPunct w:val="0"/>
              <w:jc w:val="center"/>
              <w:rPr>
                <w:rFonts w:ascii="宋体" w:hAnsi="宋体"/>
                <w:sz w:val="24"/>
              </w:rPr>
            </w:pPr>
            <w:r>
              <w:rPr>
                <w:rFonts w:hint="eastAsia" w:ascii="宋体" w:hAnsi="宋体"/>
                <w:sz w:val="24"/>
              </w:rPr>
              <w:t>（万元）</w:t>
            </w:r>
          </w:p>
        </w:tc>
        <w:tc>
          <w:tcPr>
            <w:tcW w:w="2289" w:type="dxa"/>
            <w:tcBorders>
              <w:left w:val="single" w:color="auto" w:sz="2" w:space="0"/>
              <w:bottom w:val="single" w:color="auto" w:sz="4" w:space="0"/>
              <w:right w:val="single" w:color="auto" w:sz="4" w:space="0"/>
            </w:tcBorders>
            <w:vAlign w:val="center"/>
          </w:tcPr>
          <w:p>
            <w:pPr>
              <w:overflowPunct w:val="0"/>
              <w:spacing w:line="360" w:lineRule="auto"/>
              <w:ind w:left="210" w:leftChar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9"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color w:val="000000"/>
                <w:sz w:val="24"/>
              </w:rPr>
            </w:pPr>
          </w:p>
        </w:tc>
        <w:tc>
          <w:tcPr>
            <w:tcW w:w="1772" w:type="dxa"/>
            <w:gridSpan w:val="2"/>
            <w:tcBorders>
              <w:left w:val="single" w:color="auto" w:sz="4" w:space="0"/>
              <w:bottom w:val="single" w:color="auto" w:sz="4" w:space="0"/>
              <w:right w:val="single" w:color="auto" w:sz="2" w:space="0"/>
            </w:tcBorders>
            <w:vAlign w:val="center"/>
          </w:tcPr>
          <w:p>
            <w:r>
              <w:rPr>
                <w:rFonts w:hint="eastAsia" w:ascii="宋体" w:hAnsi="宋体"/>
                <w:sz w:val="24"/>
              </w:rPr>
              <w:t>对应的土地复垦方案</w:t>
            </w:r>
          </w:p>
          <w:p>
            <w:pPr>
              <w:overflowPunct w:val="0"/>
              <w:jc w:val="center"/>
              <w:rPr>
                <w:rFonts w:ascii="宋体" w:hAnsi="宋体"/>
                <w:sz w:val="24"/>
              </w:rPr>
            </w:pPr>
            <w:r>
              <w:rPr>
                <w:rFonts w:hint="eastAsia" w:ascii="宋体" w:hAnsi="宋体"/>
                <w:sz w:val="24"/>
              </w:rPr>
              <w:t>编号</w:t>
            </w:r>
          </w:p>
        </w:tc>
        <w:tc>
          <w:tcPr>
            <w:tcW w:w="2545" w:type="dxa"/>
            <w:gridSpan w:val="2"/>
            <w:tcBorders>
              <w:left w:val="single" w:color="auto" w:sz="2" w:space="0"/>
              <w:bottom w:val="single" w:color="auto" w:sz="4" w:space="0"/>
              <w:right w:val="single" w:color="auto" w:sz="4" w:space="0"/>
            </w:tcBorders>
            <w:vAlign w:val="center"/>
          </w:tcPr>
          <w:p>
            <w:pPr>
              <w:overflowPunct w:val="0"/>
              <w:jc w:val="center"/>
              <w:rPr>
                <w:rFonts w:ascii="宋体" w:hAnsi="宋体"/>
                <w:sz w:val="24"/>
              </w:rPr>
            </w:pPr>
          </w:p>
        </w:tc>
        <w:tc>
          <w:tcPr>
            <w:tcW w:w="2286" w:type="dxa"/>
            <w:gridSpan w:val="3"/>
            <w:tcBorders>
              <w:left w:val="single" w:color="auto" w:sz="2" w:space="0"/>
              <w:bottom w:val="single" w:color="auto" w:sz="4" w:space="0"/>
              <w:right w:val="single" w:color="auto" w:sz="4" w:space="0"/>
            </w:tcBorders>
            <w:vAlign w:val="center"/>
          </w:tcPr>
          <w:p>
            <w:pPr>
              <w:overflowPunct w:val="0"/>
              <w:jc w:val="center"/>
              <w:rPr>
                <w:rFonts w:ascii="宋体" w:hAnsi="宋体"/>
                <w:sz w:val="24"/>
              </w:rPr>
            </w:pPr>
            <w:r>
              <w:rPr>
                <w:rFonts w:hint="eastAsia" w:ascii="宋体" w:hAnsi="宋体"/>
                <w:sz w:val="24"/>
              </w:rPr>
              <w:t>本次申请对应的土地复垦方案</w:t>
            </w:r>
            <w:r>
              <w:rPr>
                <w:rFonts w:ascii="宋体" w:hAnsi="宋体"/>
                <w:sz w:val="24"/>
              </w:rPr>
              <w:t>地块号</w:t>
            </w:r>
          </w:p>
        </w:tc>
        <w:tc>
          <w:tcPr>
            <w:tcW w:w="2289" w:type="dxa"/>
            <w:tcBorders>
              <w:left w:val="single" w:color="auto" w:sz="2" w:space="0"/>
              <w:bottom w:val="single" w:color="auto" w:sz="4" w:space="0"/>
              <w:right w:val="single" w:color="auto" w:sz="4" w:space="0"/>
            </w:tcBorders>
            <w:vAlign w:val="center"/>
          </w:tcPr>
          <w:p>
            <w:pPr>
              <w:overflowPunct w:val="0"/>
              <w:spacing w:line="360" w:lineRule="auto"/>
              <w:ind w:left="210" w:leftChar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color w:val="000000"/>
                <w:sz w:val="24"/>
              </w:rPr>
            </w:pPr>
          </w:p>
        </w:tc>
        <w:tc>
          <w:tcPr>
            <w:tcW w:w="1772" w:type="dxa"/>
            <w:gridSpan w:val="2"/>
            <w:tcBorders>
              <w:left w:val="single" w:color="auto" w:sz="4" w:space="0"/>
              <w:bottom w:val="single" w:color="auto" w:sz="4" w:space="0"/>
              <w:right w:val="single" w:color="auto" w:sz="2" w:space="0"/>
            </w:tcBorders>
            <w:vAlign w:val="center"/>
          </w:tcPr>
          <w:p>
            <w:pPr>
              <w:overflowPunct w:val="0"/>
              <w:jc w:val="center"/>
              <w:rPr>
                <w:rFonts w:ascii="宋体" w:hAnsi="宋体"/>
                <w:sz w:val="24"/>
              </w:rPr>
            </w:pPr>
            <w:r>
              <w:rPr>
                <w:rFonts w:hint="eastAsia" w:ascii="宋体" w:hAnsi="宋体"/>
                <w:sz w:val="24"/>
              </w:rPr>
              <w:t>主要用途</w:t>
            </w:r>
          </w:p>
        </w:tc>
        <w:tc>
          <w:tcPr>
            <w:tcW w:w="4831" w:type="dxa"/>
            <w:gridSpan w:val="5"/>
            <w:tcBorders>
              <w:left w:val="single" w:color="auto" w:sz="2" w:space="0"/>
              <w:bottom w:val="single" w:color="auto" w:sz="4" w:space="0"/>
              <w:right w:val="single" w:color="auto" w:sz="4" w:space="0"/>
            </w:tcBorders>
            <w:vAlign w:val="center"/>
          </w:tcPr>
          <w:p>
            <w:pPr>
              <w:overflowPunct w:val="0"/>
              <w:jc w:val="center"/>
              <w:rPr>
                <w:rFonts w:ascii="宋体" w:hAnsi="宋体"/>
                <w:sz w:val="24"/>
              </w:rPr>
            </w:pPr>
            <w:r>
              <w:rPr>
                <w:rFonts w:hint="eastAsia" w:ascii="宋体" w:hAnsi="宋体"/>
                <w:sz w:val="24"/>
              </w:rPr>
              <w:t>详细用途</w:t>
            </w:r>
          </w:p>
        </w:tc>
        <w:tc>
          <w:tcPr>
            <w:tcW w:w="2289" w:type="dxa"/>
            <w:tcBorders>
              <w:left w:val="single" w:color="auto" w:sz="2" w:space="0"/>
              <w:bottom w:val="single" w:color="auto" w:sz="4" w:space="0"/>
              <w:right w:val="single" w:color="auto" w:sz="4" w:space="0"/>
            </w:tcBorders>
            <w:vAlign w:val="center"/>
          </w:tcPr>
          <w:p>
            <w:pPr>
              <w:overflowPunct w:val="0"/>
              <w:spacing w:line="360" w:lineRule="auto"/>
              <w:ind w:left="210" w:leftChars="100"/>
              <w:jc w:val="center"/>
              <w:rPr>
                <w:rFonts w:ascii="宋体" w:hAnsi="宋体"/>
                <w:sz w:val="24"/>
              </w:rPr>
            </w:pPr>
            <w:r>
              <w:rPr>
                <w:rFonts w:hint="eastAsia" w:ascii="宋体" w:hAnsi="宋体"/>
                <w:sz w:val="24"/>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0"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color w:val="000000"/>
                <w:sz w:val="24"/>
              </w:rPr>
            </w:pPr>
          </w:p>
        </w:tc>
        <w:tc>
          <w:tcPr>
            <w:tcW w:w="1772" w:type="dxa"/>
            <w:gridSpan w:val="2"/>
            <w:vMerge w:val="restart"/>
            <w:tcBorders>
              <w:left w:val="single" w:color="auto" w:sz="4" w:space="0"/>
              <w:right w:val="single" w:color="auto" w:sz="2" w:space="0"/>
            </w:tcBorders>
            <w:vAlign w:val="center"/>
          </w:tcPr>
          <w:p>
            <w:pPr>
              <w:overflowPunct w:val="0"/>
              <w:jc w:val="center"/>
            </w:pPr>
            <w:r>
              <w:t>建设项目施工类</w:t>
            </w:r>
          </w:p>
          <w:p>
            <w:pPr>
              <w:pStyle w:val="8"/>
              <w:widowControl w:val="0"/>
              <w:overflowPunct w:val="0"/>
              <w:jc w:val="center"/>
            </w:pPr>
            <w:r>
              <w:rPr>
                <w:rFonts w:hint="eastAsia" w:ascii="宋体" w:hAnsi="宋体"/>
              </w:rPr>
              <w:t>（   ）公顷</w:t>
            </w:r>
          </w:p>
        </w:tc>
        <w:tc>
          <w:tcPr>
            <w:tcW w:w="4831" w:type="dxa"/>
            <w:gridSpan w:val="5"/>
            <w:tcBorders>
              <w:left w:val="single" w:color="auto" w:sz="2" w:space="0"/>
              <w:bottom w:val="single" w:color="auto" w:sz="4" w:space="0"/>
              <w:right w:val="single" w:color="auto" w:sz="4" w:space="0"/>
            </w:tcBorders>
            <w:vAlign w:val="center"/>
          </w:tcPr>
          <w:p>
            <w:pPr>
              <w:overflowPunct w:val="0"/>
              <w:ind w:firstLine="218" w:firstLineChars="91"/>
              <w:jc w:val="center"/>
              <w:textAlignment w:val="center"/>
              <w:rPr>
                <w:rFonts w:ascii="宋体" w:hAnsi="宋体"/>
                <w:sz w:val="24"/>
              </w:rPr>
            </w:pPr>
            <w:r>
              <w:rPr>
                <w:rFonts w:hint="eastAsia" w:ascii="宋体" w:hAnsi="宋体" w:cs="宋体"/>
                <w:color w:val="000000"/>
                <w:sz w:val="24"/>
              </w:rPr>
              <w:t>临时办公用房</w:t>
            </w:r>
          </w:p>
        </w:tc>
        <w:tc>
          <w:tcPr>
            <w:tcW w:w="2289" w:type="dxa"/>
            <w:tcBorders>
              <w:left w:val="single" w:color="auto" w:sz="2" w:space="0"/>
              <w:right w:val="single" w:color="auto" w:sz="4" w:space="0"/>
            </w:tcBorders>
            <w:vAlign w:val="center"/>
          </w:tcPr>
          <w:p>
            <w:pPr>
              <w:overflowPunct w:val="0"/>
              <w:spacing w:line="360" w:lineRule="auto"/>
              <w:ind w:left="210" w:leftChar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vAlign w:val="center"/>
          </w:tcPr>
          <w:p>
            <w:pPr>
              <w:overflowPunct w:val="0"/>
              <w:jc w:val="center"/>
            </w:pPr>
          </w:p>
        </w:tc>
        <w:tc>
          <w:tcPr>
            <w:tcW w:w="1772" w:type="dxa"/>
            <w:gridSpan w:val="2"/>
            <w:vMerge w:val="continue"/>
            <w:tcBorders>
              <w:left w:val="single" w:color="auto" w:sz="4" w:space="0"/>
              <w:right w:val="single" w:color="auto" w:sz="2" w:space="0"/>
            </w:tcBorders>
            <w:vAlign w:val="center"/>
          </w:tcPr>
          <w:p>
            <w:pPr>
              <w:overflowPunct w:val="0"/>
              <w:jc w:val="center"/>
            </w:pPr>
          </w:p>
        </w:tc>
        <w:tc>
          <w:tcPr>
            <w:tcW w:w="4831" w:type="dxa"/>
            <w:gridSpan w:val="5"/>
            <w:tcBorders>
              <w:left w:val="single" w:color="auto" w:sz="2" w:space="0"/>
              <w:bottom w:val="single" w:color="auto" w:sz="4" w:space="0"/>
              <w:right w:val="single" w:color="auto" w:sz="4" w:space="0"/>
            </w:tcBorders>
            <w:vAlign w:val="center"/>
          </w:tcPr>
          <w:p>
            <w:pPr>
              <w:overflowPunct w:val="0"/>
              <w:ind w:firstLine="218" w:firstLineChars="91"/>
              <w:jc w:val="center"/>
              <w:textAlignment w:val="center"/>
              <w:rPr>
                <w:rFonts w:ascii="宋体" w:hAnsi="宋体"/>
                <w:sz w:val="24"/>
              </w:rPr>
            </w:pPr>
            <w:r>
              <w:rPr>
                <w:rFonts w:hint="eastAsia" w:ascii="宋体" w:hAnsi="宋体" w:cs="宋体"/>
                <w:color w:val="000000"/>
                <w:sz w:val="24"/>
              </w:rPr>
              <w:t>生活用房</w:t>
            </w:r>
          </w:p>
        </w:tc>
        <w:tc>
          <w:tcPr>
            <w:tcW w:w="2289" w:type="dxa"/>
            <w:tcBorders>
              <w:left w:val="single" w:color="auto" w:sz="2" w:space="0"/>
              <w:right w:val="single" w:color="auto" w:sz="4" w:space="0"/>
            </w:tcBorders>
            <w:vAlign w:val="center"/>
          </w:tcPr>
          <w:p>
            <w:pPr>
              <w:overflowPunct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工棚</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农用地表土剥离堆放场</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材料堆场</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制梁场</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拌合站</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钢筋加工场</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施工便道</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运输便道</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地上线路架设</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地下管线敷设作业</w:t>
            </w:r>
          </w:p>
        </w:tc>
        <w:tc>
          <w:tcPr>
            <w:tcW w:w="2289" w:type="dxa"/>
            <w:tcBorders>
              <w:left w:val="single" w:color="auto" w:sz="2" w:space="0"/>
              <w:bottom w:val="single" w:color="auto" w:sz="4"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cs="宋体"/>
                <w:color w:val="000000"/>
                <w:sz w:val="24"/>
              </w:rPr>
            </w:pPr>
            <w:r>
              <w:rPr>
                <w:rFonts w:ascii="宋体" w:hAnsi="宋体" w:cs="宋体"/>
                <w:color w:val="000000"/>
                <w:sz w:val="24"/>
              </w:rPr>
              <w:t>取土场</w:t>
            </w:r>
          </w:p>
        </w:tc>
        <w:tc>
          <w:tcPr>
            <w:tcW w:w="2289" w:type="dxa"/>
            <w:tcBorders>
              <w:left w:val="single" w:color="auto" w:sz="2" w:space="0"/>
              <w:bottom w:val="single" w:color="auto" w:sz="4"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cs="宋体"/>
                <w:color w:val="000000"/>
                <w:sz w:val="24"/>
              </w:rPr>
            </w:pPr>
            <w:r>
              <w:rPr>
                <w:rFonts w:ascii="宋体" w:hAnsi="宋体" w:cs="宋体"/>
                <w:color w:val="000000"/>
                <w:sz w:val="24"/>
              </w:rPr>
              <w:t>弃土（渣）场</w:t>
            </w:r>
          </w:p>
        </w:tc>
        <w:tc>
          <w:tcPr>
            <w:tcW w:w="2289" w:type="dxa"/>
            <w:tcBorders>
              <w:left w:val="single" w:color="auto" w:sz="2" w:space="0"/>
              <w:bottom w:val="single" w:color="auto" w:sz="4"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6"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color w:val="000000"/>
                <w:sz w:val="24"/>
              </w:rPr>
            </w:pPr>
          </w:p>
        </w:tc>
        <w:tc>
          <w:tcPr>
            <w:tcW w:w="1772" w:type="dxa"/>
            <w:gridSpan w:val="2"/>
            <w:vMerge w:val="restart"/>
            <w:tcBorders>
              <w:left w:val="single" w:color="auto" w:sz="4" w:space="0"/>
              <w:right w:val="single" w:color="auto" w:sz="2" w:space="0"/>
            </w:tcBorders>
            <w:vAlign w:val="center"/>
          </w:tcPr>
          <w:p>
            <w:pPr>
              <w:overflowPunct w:val="0"/>
              <w:spacing w:line="280" w:lineRule="exact"/>
              <w:jc w:val="center"/>
            </w:pPr>
            <w:r>
              <w:rPr>
                <w:rFonts w:hint="eastAsia"/>
              </w:rPr>
              <w:t>地质勘查类</w:t>
            </w:r>
          </w:p>
          <w:p>
            <w:pPr>
              <w:pStyle w:val="8"/>
              <w:widowControl w:val="0"/>
              <w:overflowPunct w:val="0"/>
              <w:jc w:val="center"/>
            </w:pPr>
            <w:r>
              <w:rPr>
                <w:rFonts w:hint="eastAsia" w:ascii="宋体" w:hAnsi="宋体"/>
              </w:rPr>
              <w:t>（   ）公顷</w:t>
            </w: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临时生活用房</w:t>
            </w:r>
          </w:p>
        </w:tc>
        <w:tc>
          <w:tcPr>
            <w:tcW w:w="2289" w:type="dxa"/>
            <w:tcBorders>
              <w:left w:val="single" w:color="auto" w:sz="2" w:space="0"/>
              <w:right w:val="single" w:color="auto" w:sz="4" w:space="0"/>
            </w:tcBorders>
            <w:vAlign w:val="center"/>
          </w:tcPr>
          <w:p>
            <w:pPr>
              <w:overflowPunct w:val="0"/>
              <w:spacing w:line="280" w:lineRule="exact"/>
              <w:ind w:left="210" w:leftChar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vAlign w:val="center"/>
          </w:tcPr>
          <w:p>
            <w:pPr>
              <w:overflowPunct w:val="0"/>
              <w:jc w:val="cente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临时工棚</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勘查作业及其辅助工程</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施工便道</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运输便道</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油气钻井井场</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油气配套管线</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油气电力设施</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油气进场道路</w:t>
            </w:r>
          </w:p>
        </w:tc>
        <w:tc>
          <w:tcPr>
            <w:tcW w:w="2289" w:type="dxa"/>
            <w:tcBorders>
              <w:left w:val="single" w:color="auto" w:sz="2" w:space="0"/>
              <w:bottom w:val="single" w:color="auto" w:sz="4"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color w:val="000000"/>
                <w:sz w:val="24"/>
              </w:rPr>
            </w:pPr>
          </w:p>
        </w:tc>
        <w:tc>
          <w:tcPr>
            <w:tcW w:w="1772" w:type="dxa"/>
            <w:gridSpan w:val="2"/>
            <w:vMerge w:val="restart"/>
            <w:tcBorders>
              <w:left w:val="single" w:color="auto" w:sz="4" w:space="0"/>
              <w:right w:val="single" w:color="auto" w:sz="2" w:space="0"/>
            </w:tcBorders>
            <w:vAlign w:val="center"/>
          </w:tcPr>
          <w:p>
            <w:pPr>
              <w:overflowPunct w:val="0"/>
              <w:spacing w:line="280" w:lineRule="exact"/>
              <w:jc w:val="center"/>
            </w:pPr>
            <w:r>
              <w:rPr>
                <w:rFonts w:hint="eastAsia"/>
              </w:rPr>
              <w:t>考古和文物</w:t>
            </w:r>
          </w:p>
          <w:p>
            <w:pPr>
              <w:overflowPunct w:val="0"/>
              <w:spacing w:line="280" w:lineRule="exact"/>
              <w:jc w:val="center"/>
            </w:pPr>
            <w:r>
              <w:rPr>
                <w:rFonts w:hint="eastAsia"/>
              </w:rPr>
              <w:t>保护类</w:t>
            </w:r>
          </w:p>
          <w:p>
            <w:pPr>
              <w:pStyle w:val="8"/>
              <w:widowControl w:val="0"/>
              <w:overflowPunct w:val="0"/>
              <w:jc w:val="center"/>
            </w:pPr>
            <w:r>
              <w:rPr>
                <w:rFonts w:hint="eastAsia" w:ascii="宋体" w:hAnsi="宋体"/>
              </w:rPr>
              <w:t>（   ）公顷</w:t>
            </w: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考古和文物临时性文物保护设施</w:t>
            </w:r>
          </w:p>
        </w:tc>
        <w:tc>
          <w:tcPr>
            <w:tcW w:w="2289" w:type="dxa"/>
            <w:tcBorders>
              <w:left w:val="single" w:color="auto" w:sz="2" w:space="0"/>
              <w:right w:val="single" w:color="auto" w:sz="4" w:space="0"/>
            </w:tcBorders>
            <w:vAlign w:val="center"/>
          </w:tcPr>
          <w:p>
            <w:pPr>
              <w:overflowPunct w:val="0"/>
              <w:spacing w:line="280" w:lineRule="exact"/>
              <w:ind w:left="210" w:leftChar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 w:hRule="atLeast"/>
          <w:jc w:val="center"/>
        </w:trPr>
        <w:tc>
          <w:tcPr>
            <w:tcW w:w="662" w:type="dxa"/>
            <w:vMerge w:val="continue"/>
            <w:tcBorders>
              <w:left w:val="single" w:color="auto" w:sz="4" w:space="0"/>
              <w:right w:val="single" w:color="auto" w:sz="4" w:space="0"/>
            </w:tcBorders>
            <w:vAlign w:val="center"/>
          </w:tcPr>
          <w:p>
            <w:pPr>
              <w:overflowPunct w:val="0"/>
              <w:jc w:val="cente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考古和文物临时性工地安全设施</w:t>
            </w:r>
          </w:p>
        </w:tc>
        <w:tc>
          <w:tcPr>
            <w:tcW w:w="2289" w:type="dxa"/>
            <w:tcBorders>
              <w:left w:val="single" w:color="auto" w:sz="2"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sz w:val="24"/>
              </w:rP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rPr>
                <w:rFonts w:ascii="宋体" w:hAnsi="宋体"/>
                <w:sz w:val="24"/>
              </w:rP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textAlignment w:val="center"/>
              <w:rPr>
                <w:rFonts w:ascii="宋体" w:hAnsi="宋体"/>
                <w:sz w:val="24"/>
              </w:rPr>
            </w:pPr>
            <w:r>
              <w:rPr>
                <w:rFonts w:hint="eastAsia" w:ascii="宋体" w:hAnsi="宋体" w:cs="宋体"/>
                <w:color w:val="000000"/>
                <w:sz w:val="24"/>
              </w:rPr>
              <w:t>考古和文物临时性后勤设施</w:t>
            </w:r>
          </w:p>
        </w:tc>
        <w:tc>
          <w:tcPr>
            <w:tcW w:w="2289" w:type="dxa"/>
            <w:tcBorders>
              <w:left w:val="single" w:color="auto" w:sz="2" w:space="0"/>
              <w:bottom w:val="single" w:color="auto" w:sz="4"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jc w:val="center"/>
        </w:trPr>
        <w:tc>
          <w:tcPr>
            <w:tcW w:w="662" w:type="dxa"/>
            <w:vMerge w:val="continue"/>
            <w:tcBorders>
              <w:left w:val="single" w:color="auto" w:sz="4" w:space="0"/>
              <w:right w:val="single" w:color="auto" w:sz="4" w:space="0"/>
            </w:tcBorders>
            <w:vAlign w:val="center"/>
          </w:tcPr>
          <w:p>
            <w:pPr>
              <w:overflowPunct w:val="0"/>
              <w:jc w:val="center"/>
              <w:rPr>
                <w:rFonts w:ascii="宋体" w:hAnsi="宋体"/>
                <w:color w:val="000000"/>
                <w:sz w:val="24"/>
              </w:rPr>
            </w:pPr>
          </w:p>
        </w:tc>
        <w:tc>
          <w:tcPr>
            <w:tcW w:w="1772" w:type="dxa"/>
            <w:gridSpan w:val="2"/>
            <w:vMerge w:val="restart"/>
            <w:tcBorders>
              <w:left w:val="single" w:color="auto" w:sz="4" w:space="0"/>
              <w:right w:val="single" w:color="auto" w:sz="2" w:space="0"/>
            </w:tcBorders>
            <w:vAlign w:val="center"/>
          </w:tcPr>
          <w:p>
            <w:pPr>
              <w:overflowPunct w:val="0"/>
              <w:spacing w:line="280" w:lineRule="exact"/>
              <w:jc w:val="center"/>
            </w:pPr>
            <w:r>
              <w:rPr>
                <w:rFonts w:hint="eastAsia"/>
              </w:rPr>
              <w:t>法律法规规定的其他情形</w:t>
            </w:r>
          </w:p>
          <w:p>
            <w:pPr>
              <w:pStyle w:val="8"/>
              <w:widowControl w:val="0"/>
              <w:overflowPunct w:val="0"/>
              <w:jc w:val="center"/>
            </w:pPr>
            <w:r>
              <w:rPr>
                <w:rFonts w:hint="eastAsia" w:ascii="宋体" w:hAnsi="宋体"/>
              </w:rPr>
              <w:t>（   ）公顷</w:t>
            </w: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rPr>
                <w:rFonts w:ascii="宋体" w:hAnsi="宋体"/>
                <w:sz w:val="24"/>
              </w:rPr>
            </w:pPr>
          </w:p>
        </w:tc>
        <w:tc>
          <w:tcPr>
            <w:tcW w:w="2289" w:type="dxa"/>
            <w:tcBorders>
              <w:left w:val="single" w:color="auto" w:sz="2" w:space="0"/>
              <w:right w:val="single" w:color="auto" w:sz="4" w:space="0"/>
            </w:tcBorders>
            <w:vAlign w:val="center"/>
          </w:tcPr>
          <w:p>
            <w:pPr>
              <w:overflowPunct w:val="0"/>
              <w:spacing w:line="280" w:lineRule="exact"/>
              <w:ind w:left="210" w:leftChar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jc w:val="center"/>
        </w:trPr>
        <w:tc>
          <w:tcPr>
            <w:tcW w:w="662" w:type="dxa"/>
            <w:vMerge w:val="continue"/>
            <w:tcBorders>
              <w:left w:val="single" w:color="auto" w:sz="4" w:space="0"/>
              <w:right w:val="single" w:color="auto" w:sz="4" w:space="0"/>
            </w:tcBorders>
            <w:vAlign w:val="center"/>
          </w:tcPr>
          <w:p>
            <w:pPr>
              <w:overflowPunct w:val="0"/>
              <w:jc w:val="center"/>
            </w:pPr>
          </w:p>
        </w:tc>
        <w:tc>
          <w:tcPr>
            <w:tcW w:w="1772" w:type="dxa"/>
            <w:gridSpan w:val="2"/>
            <w:vMerge w:val="continue"/>
            <w:tcBorders>
              <w:left w:val="single" w:color="auto" w:sz="4" w:space="0"/>
              <w:right w:val="single" w:color="auto" w:sz="2" w:space="0"/>
            </w:tcBorders>
            <w:vAlign w:val="center"/>
          </w:tcPr>
          <w:p>
            <w:pPr>
              <w:overflowPunct w:val="0"/>
              <w:spacing w:line="280" w:lineRule="exact"/>
              <w:jc w:val="center"/>
            </w:pPr>
          </w:p>
        </w:tc>
        <w:tc>
          <w:tcPr>
            <w:tcW w:w="4831" w:type="dxa"/>
            <w:gridSpan w:val="5"/>
            <w:tcBorders>
              <w:left w:val="single" w:color="auto" w:sz="2" w:space="0"/>
              <w:bottom w:val="single" w:color="auto" w:sz="4" w:space="0"/>
              <w:right w:val="single" w:color="auto" w:sz="4" w:space="0"/>
            </w:tcBorders>
            <w:vAlign w:val="center"/>
          </w:tcPr>
          <w:p>
            <w:pPr>
              <w:overflowPunct w:val="0"/>
              <w:spacing w:line="280" w:lineRule="exact"/>
              <w:ind w:firstLine="218" w:firstLineChars="91"/>
              <w:jc w:val="center"/>
              <w:rPr>
                <w:rFonts w:ascii="宋体" w:hAnsi="宋体"/>
                <w:sz w:val="24"/>
              </w:rPr>
            </w:pPr>
          </w:p>
        </w:tc>
        <w:tc>
          <w:tcPr>
            <w:tcW w:w="2289" w:type="dxa"/>
            <w:tcBorders>
              <w:left w:val="single" w:color="auto" w:sz="2" w:space="0"/>
              <w:bottom w:val="single" w:color="auto" w:sz="4" w:space="0"/>
              <w:right w:val="single" w:color="auto" w:sz="4" w:space="0"/>
            </w:tcBorders>
            <w:vAlign w:val="center"/>
          </w:tcPr>
          <w:p>
            <w:pPr>
              <w:overflowPunct w:val="0"/>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66"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宋体" w:hAnsi="宋体"/>
                <w:sz w:val="24"/>
              </w:rPr>
            </w:pPr>
            <w:r>
              <w:rPr>
                <w:rFonts w:hint="eastAsia" w:ascii="宋体" w:hAnsi="宋体"/>
                <w:sz w:val="24"/>
              </w:rPr>
              <w:t>申请</w:t>
            </w:r>
          </w:p>
          <w:p>
            <w:pPr>
              <w:overflowPunct w:val="0"/>
              <w:jc w:val="center"/>
              <w:rPr>
                <w:rFonts w:ascii="宋体" w:hAnsi="宋体"/>
                <w:sz w:val="24"/>
              </w:rPr>
            </w:pPr>
            <w:r>
              <w:rPr>
                <w:rFonts w:hint="eastAsia" w:ascii="宋体" w:hAnsi="宋体"/>
                <w:sz w:val="24"/>
              </w:rPr>
              <w:t>单位</w:t>
            </w:r>
          </w:p>
          <w:p>
            <w:pPr>
              <w:overflowPunct w:val="0"/>
              <w:jc w:val="center"/>
              <w:rPr>
                <w:rFonts w:ascii="宋体" w:hAnsi="宋体"/>
                <w:sz w:val="24"/>
              </w:rPr>
            </w:pPr>
            <w:r>
              <w:rPr>
                <w:rFonts w:hint="eastAsia" w:ascii="宋体" w:hAnsi="宋体"/>
                <w:sz w:val="24"/>
              </w:rPr>
              <w:t>承诺</w:t>
            </w:r>
          </w:p>
        </w:tc>
        <w:tc>
          <w:tcPr>
            <w:tcW w:w="8892" w:type="dxa"/>
            <w:gridSpan w:val="8"/>
            <w:tcBorders>
              <w:top w:val="single" w:color="auto" w:sz="4" w:space="0"/>
              <w:left w:val="single" w:color="auto" w:sz="4" w:space="0"/>
              <w:bottom w:val="single" w:color="auto" w:sz="4" w:space="0"/>
              <w:right w:val="single" w:color="auto" w:sz="4" w:space="0"/>
            </w:tcBorders>
            <w:vAlign w:val="center"/>
          </w:tcPr>
          <w:p>
            <w:pPr>
              <w:overflowPunct w:val="0"/>
              <w:spacing w:line="280" w:lineRule="exact"/>
              <w:ind w:firstLine="480" w:firstLineChars="200"/>
              <w:rPr>
                <w:rFonts w:ascii="宋体" w:hAnsi="宋体"/>
                <w:sz w:val="24"/>
              </w:rPr>
            </w:pPr>
            <w:r>
              <w:rPr>
                <w:rFonts w:hint="eastAsia" w:ascii="宋体" w:hAnsi="宋体"/>
                <w:sz w:val="24"/>
              </w:rPr>
              <w:t>本表填报的内容及提交的所有材料真实，并对其实质内容的真实性负责。如有任何虚假，将承担一切后果及法律责任。</w:t>
            </w:r>
          </w:p>
          <w:p>
            <w:pPr>
              <w:overflowPunct w:val="0"/>
              <w:spacing w:line="280" w:lineRule="exact"/>
              <w:rPr>
                <w:rFonts w:ascii="宋体" w:hAnsi="宋体"/>
                <w:sz w:val="24"/>
              </w:rPr>
            </w:pPr>
          </w:p>
          <w:p>
            <w:pPr>
              <w:overflowPunct w:val="0"/>
              <w:spacing w:line="280" w:lineRule="exact"/>
              <w:ind w:firstLine="480" w:firstLineChars="200"/>
              <w:rPr>
                <w:rFonts w:ascii="宋体" w:hAnsi="宋体"/>
                <w:sz w:val="24"/>
              </w:rPr>
            </w:pPr>
            <w:r>
              <w:rPr>
                <w:rFonts w:hint="eastAsia" w:ascii="宋体" w:hAnsi="宋体"/>
                <w:sz w:val="24"/>
              </w:rPr>
              <w:t xml:space="preserve">申请单位（盖章）：            法定代表人（负责人）签字：     </w:t>
            </w:r>
          </w:p>
          <w:p>
            <w:pPr>
              <w:overflowPunct w:val="0"/>
              <w:spacing w:line="280" w:lineRule="exact"/>
              <w:ind w:firstLine="2640" w:firstLineChars="1100"/>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48" w:hRule="atLeast"/>
          <w:jc w:val="center"/>
        </w:trPr>
        <w:tc>
          <w:tcPr>
            <w:tcW w:w="979" w:type="dxa"/>
            <w:gridSpan w:val="2"/>
            <w:tcBorders>
              <w:top w:val="single" w:color="auto" w:sz="4" w:space="0"/>
              <w:left w:val="single" w:color="auto" w:sz="4" w:space="0"/>
              <w:bottom w:val="single" w:color="auto" w:sz="4" w:space="0"/>
              <w:right w:val="single" w:color="auto" w:sz="4" w:space="0"/>
            </w:tcBorders>
            <w:vAlign w:val="center"/>
          </w:tcPr>
          <w:p>
            <w:pPr>
              <w:overflowPunct w:val="0"/>
              <w:jc w:val="center"/>
              <w:rPr>
                <w:rFonts w:ascii="宋体" w:hAnsi="宋体"/>
                <w:sz w:val="24"/>
              </w:rPr>
            </w:pPr>
            <w:r>
              <w:rPr>
                <w:rFonts w:ascii="宋体" w:hAnsi="宋体"/>
                <w:sz w:val="24"/>
              </w:rPr>
              <w:t>乡（镇、街道）人民政府意见</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right"/>
              <w:rPr>
                <w:rFonts w:ascii="宋体" w:hAnsi="宋体"/>
                <w:sz w:val="24"/>
              </w:rPr>
            </w:pPr>
            <w:r>
              <w:rPr>
                <w:rFonts w:ascii="宋体" w:hAnsi="宋体"/>
                <w:sz w:val="24"/>
              </w:rPr>
              <w:t>签字（盖章）                                                          年    月    日</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80" w:lineRule="exact"/>
              <w:rPr>
                <w:rFonts w:ascii="宋体" w:hAnsi="宋体"/>
                <w:sz w:val="24"/>
              </w:rPr>
            </w:pPr>
            <w:r>
              <w:rPr>
                <w:rFonts w:hint="eastAsia" w:ascii="宋体" w:hAnsi="宋体"/>
                <w:sz w:val="24"/>
              </w:rPr>
              <w:t>规划和自然资源主管部门</w:t>
            </w:r>
            <w:r>
              <w:rPr>
                <w:rFonts w:ascii="宋体" w:hAnsi="宋体"/>
                <w:sz w:val="24"/>
              </w:rPr>
              <w:t>意见</w:t>
            </w:r>
          </w:p>
        </w:tc>
        <w:tc>
          <w:tcPr>
            <w:tcW w:w="403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spacing w:line="320" w:lineRule="exact"/>
              <w:jc w:val="right"/>
              <w:rPr>
                <w:rFonts w:ascii="宋体" w:hAnsi="宋体"/>
                <w:sz w:val="24"/>
              </w:rPr>
            </w:pPr>
            <w:r>
              <w:rPr>
                <w:rFonts w:ascii="宋体" w:hAnsi="宋体"/>
                <w:sz w:val="24"/>
              </w:rPr>
              <w:t>签字（盖章）</w:t>
            </w:r>
          </w:p>
          <w:p>
            <w:pPr>
              <w:widowControl/>
              <w:wordWrap w:val="0"/>
              <w:spacing w:line="320" w:lineRule="exact"/>
              <w:jc w:val="right"/>
              <w:rPr>
                <w:rFonts w:ascii="宋体" w:hAnsi="宋体"/>
                <w:sz w:val="24"/>
              </w:rPr>
            </w:pPr>
            <w:r>
              <w:rPr>
                <w:rFonts w:hint="eastAsia" w:ascii="宋体" w:hAnsi="宋体"/>
                <w:sz w:val="24"/>
              </w:rPr>
              <w:t>年  月  日</w:t>
            </w:r>
          </w:p>
        </w:tc>
      </w:tr>
    </w:tbl>
    <w:p>
      <w:pPr>
        <w:overflowPunct w:val="0"/>
        <w:rPr>
          <w:color w:val="000000"/>
          <w:szCs w:val="21"/>
        </w:rPr>
      </w:pPr>
      <w:r>
        <w:rPr>
          <w:color w:val="000000"/>
          <w:szCs w:val="21"/>
        </w:rPr>
        <w:t>填表说明：1.本表双面打印，提供原件1份。</w:t>
      </w:r>
    </w:p>
    <w:p>
      <w:pPr>
        <w:overflowPunct w:val="0"/>
        <w:ind w:firstLine="1050" w:firstLineChars="500"/>
        <w:rPr>
          <w:color w:val="000000"/>
          <w:szCs w:val="21"/>
        </w:rPr>
      </w:pPr>
      <w:r>
        <w:rPr>
          <w:color w:val="000000"/>
          <w:szCs w:val="21"/>
        </w:rPr>
        <w:t>2.临时用地申请单位应是项目法人或者地质勘查批准文件、勘查许可证等确定的主体单位，不得将受委托单位信息填至临时用地单位情况栏。</w:t>
      </w:r>
    </w:p>
    <w:p>
      <w:pPr>
        <w:overflowPunct w:val="0"/>
        <w:ind w:firstLine="1050" w:firstLineChars="500"/>
        <w:rPr>
          <w:szCs w:val="21"/>
        </w:rPr>
      </w:pPr>
      <w:r>
        <w:rPr>
          <w:color w:val="000000"/>
          <w:szCs w:val="21"/>
        </w:rPr>
        <w:t>3.不</w:t>
      </w:r>
      <w:r>
        <w:rPr>
          <w:szCs w:val="21"/>
        </w:rPr>
        <w:t>属于</w:t>
      </w:r>
      <w:r>
        <w:rPr>
          <w:rFonts w:hint="eastAsia"/>
          <w:szCs w:val="21"/>
        </w:rPr>
        <w:t>能源交通水利等</w:t>
      </w:r>
      <w:r>
        <w:rPr>
          <w:szCs w:val="21"/>
        </w:rPr>
        <w:t>基础设施项目的不得申请取土场、弃土（渣）场临时用地，制梁场、拌合站临时用地禁止占用耕地和永久基本农田。</w:t>
      </w:r>
    </w:p>
    <w:p>
      <w:pPr>
        <w:overflowPunct w:val="0"/>
        <w:ind w:firstLine="1050" w:firstLineChars="500"/>
      </w:pPr>
      <w:r>
        <w:rPr>
          <w:szCs w:val="21"/>
        </w:rPr>
        <w:t>4.临时使用土地范围要与土地复垦方案中的具体地块一致，地类面积数据统计口径与土地复垦方案一致。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忠县规划和自然资源局发布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忠县规划和自然资源局行政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3C7E06D4"/>
    <w:rsid w:val="06AB1BDE"/>
    <w:rsid w:val="08990786"/>
    <w:rsid w:val="0E0802A4"/>
    <w:rsid w:val="13C06F2A"/>
    <w:rsid w:val="149A3C1F"/>
    <w:rsid w:val="174C7453"/>
    <w:rsid w:val="17982698"/>
    <w:rsid w:val="18023FB5"/>
    <w:rsid w:val="1E6C03DB"/>
    <w:rsid w:val="1E7554E1"/>
    <w:rsid w:val="210C7C53"/>
    <w:rsid w:val="218A04D8"/>
    <w:rsid w:val="265D1DDA"/>
    <w:rsid w:val="29FB0417"/>
    <w:rsid w:val="339E0BDF"/>
    <w:rsid w:val="344A6670"/>
    <w:rsid w:val="34AB35B3"/>
    <w:rsid w:val="37F0752F"/>
    <w:rsid w:val="3A2D4A6A"/>
    <w:rsid w:val="3C7E06D4"/>
    <w:rsid w:val="3DFC4E7F"/>
    <w:rsid w:val="44112358"/>
    <w:rsid w:val="46DA7D28"/>
    <w:rsid w:val="48793076"/>
    <w:rsid w:val="506D39BB"/>
    <w:rsid w:val="59CB10DD"/>
    <w:rsid w:val="5E841515"/>
    <w:rsid w:val="608A0CED"/>
    <w:rsid w:val="65362175"/>
    <w:rsid w:val="6FCA1E38"/>
    <w:rsid w:val="7977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376" w:lineRule="atLeast"/>
      <w:outlineLvl w:val="3"/>
    </w:pPr>
    <w:rPr>
      <w:rFonts w:ascii="Calibri Light" w:hAnsi="Calibri Light"/>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11</Pages>
  <Words>4190</Words>
  <Characters>4218</Characters>
  <Lines>0</Lines>
  <Paragraphs>0</Paragraphs>
  <TotalTime>4</TotalTime>
  <ScaleCrop>false</ScaleCrop>
  <LinksUpToDate>false</LinksUpToDate>
  <CharactersWithSpaces>4382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冉妹儿</cp:lastModifiedBy>
  <dcterms:modified xsi:type="dcterms:W3CDTF">2023-10-19T03:00:29Z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3FC7F4809DA54A1791408B0D451A0886</vt:lpwstr>
  </property>
</Properties>
</file>