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94" w:lineRule="exact"/>
        <w:contextualSpacing/>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忠县</w:t>
      </w:r>
      <w:r>
        <w:rPr>
          <w:rFonts w:hint="default" w:ascii="Times New Roman" w:hAnsi="Times New Roman" w:eastAsia="方正小标宋_GBK" w:cs="Times New Roman"/>
          <w:sz w:val="44"/>
          <w:szCs w:val="44"/>
          <w:lang w:eastAsia="zh-CN"/>
        </w:rPr>
        <w:t>港口岸电标准化建设和改造</w:t>
      </w:r>
      <w:r>
        <w:rPr>
          <w:rFonts w:hint="default" w:ascii="Times New Roman" w:hAnsi="Times New Roman" w:eastAsia="方正小标宋_GBK" w:cs="Times New Roman"/>
          <w:sz w:val="44"/>
          <w:szCs w:val="44"/>
        </w:rPr>
        <w:t>转移支付202</w:t>
      </w:r>
      <w:r>
        <w:rPr>
          <w:rFonts w:hint="default" w:ascii="Times New Roman" w:hAnsi="Times New Roman" w:eastAsia="方正小标宋_GBK" w:cs="Times New Roman"/>
          <w:sz w:val="44"/>
          <w:szCs w:val="44"/>
          <w:lang w:val="en-US" w:eastAsia="zh-CN"/>
        </w:rPr>
        <w:t>3</w:t>
      </w:r>
      <w:r>
        <w:rPr>
          <w:rFonts w:hint="default" w:ascii="Times New Roman" w:hAnsi="Times New Roman" w:eastAsia="方正小标宋_GBK" w:cs="Times New Roman"/>
          <w:sz w:val="44"/>
          <w:szCs w:val="44"/>
        </w:rPr>
        <w:t>年度绩效自评报告</w:t>
      </w:r>
    </w:p>
    <w:p>
      <w:pPr>
        <w:spacing w:line="594" w:lineRule="exact"/>
        <w:ind w:firstLine="640" w:firstLineChars="200"/>
        <w:contextualSpacing/>
        <w:jc w:val="both"/>
        <w:rPr>
          <w:rFonts w:hint="default" w:ascii="Times New Roman" w:hAnsi="Times New Roman" w:eastAsia="方正仿宋_GBK" w:cs="Times New Roman"/>
          <w:sz w:val="32"/>
          <w:szCs w:val="32"/>
        </w:rPr>
      </w:pP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黑体_GBK" w:cs="Times New Roman"/>
          <w:color w:val="000000" w:themeColor="text1"/>
          <w:sz w:val="32"/>
          <w:szCs w:val="32"/>
          <w14:textFill>
            <w14:solidFill>
              <w14:schemeClr w14:val="tx1"/>
            </w14:solidFill>
          </w14:textFill>
        </w:rPr>
      </w:pPr>
      <w:r>
        <w:rPr>
          <w:rFonts w:hint="default" w:ascii="Times New Roman" w:hAnsi="Times New Roman" w:eastAsia="方正黑体_GBK" w:cs="Times New Roman"/>
          <w:color w:val="000000" w:themeColor="text1"/>
          <w:sz w:val="32"/>
          <w:szCs w:val="32"/>
          <w14:textFill>
            <w14:solidFill>
              <w14:schemeClr w14:val="tx1"/>
            </w14:solidFill>
          </w14:textFill>
        </w:rPr>
        <w:t>一、绩效目标分解下达情况</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楷体_GBK" w:cs="Times New Roman"/>
          <w:b w:val="0"/>
          <w:bCs/>
          <w:color w:val="000000" w:themeColor="text1"/>
          <w:sz w:val="32"/>
          <w:szCs w:val="32"/>
          <w14:textFill>
            <w14:solidFill>
              <w14:schemeClr w14:val="tx1"/>
            </w14:solidFill>
          </w14:textFill>
        </w:rPr>
      </w:pPr>
      <w:r>
        <w:rPr>
          <w:rFonts w:hint="default" w:ascii="Times New Roman" w:hAnsi="Times New Roman" w:eastAsia="方正楷体_GBK" w:cs="Times New Roman"/>
          <w:b w:val="0"/>
          <w:bCs/>
          <w:color w:val="000000" w:themeColor="text1"/>
          <w:sz w:val="32"/>
          <w:szCs w:val="32"/>
          <w:lang w:eastAsia="zh-CN"/>
          <w14:textFill>
            <w14:solidFill>
              <w14:schemeClr w14:val="tx1"/>
            </w14:solidFill>
          </w14:textFill>
        </w:rPr>
        <w:t>（一）</w:t>
      </w:r>
      <w:r>
        <w:rPr>
          <w:rFonts w:hint="default" w:ascii="Times New Roman" w:hAnsi="Times New Roman" w:eastAsia="方正楷体_GBK" w:cs="Times New Roman"/>
          <w:b w:val="0"/>
          <w:bCs/>
          <w:color w:val="000000" w:themeColor="text1"/>
          <w:sz w:val="32"/>
          <w:szCs w:val="32"/>
          <w14:textFill>
            <w14:solidFill>
              <w14:schemeClr w14:val="tx1"/>
            </w14:solidFill>
          </w14:textFill>
        </w:rPr>
        <w:t>中央、市级专项转移支付预算</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b/>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中央、市级下达</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港口岸电标准化建设和改造</w:t>
      </w:r>
      <w:r>
        <w:rPr>
          <w:rFonts w:hint="default" w:ascii="Times New Roman" w:hAnsi="Times New Roman" w:eastAsia="方正仿宋_GBK" w:cs="Times New Roman"/>
          <w:color w:val="000000" w:themeColor="text1"/>
          <w:sz w:val="32"/>
          <w:szCs w:val="32"/>
          <w14:textFill>
            <w14:solidFill>
              <w14:schemeClr w14:val="tx1"/>
            </w14:solidFill>
          </w14:textFill>
        </w:rPr>
        <w:t>专项转移支付资金共计</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30</w:t>
      </w:r>
      <w:r>
        <w:rPr>
          <w:rFonts w:hint="default" w:ascii="Times New Roman" w:hAnsi="Times New Roman" w:eastAsia="方正仿宋_GBK" w:cs="Times New Roman"/>
          <w:color w:val="000000" w:themeColor="text1"/>
          <w:sz w:val="32"/>
          <w:szCs w:val="32"/>
          <w14:textFill>
            <w14:solidFill>
              <w14:schemeClr w14:val="tx1"/>
            </w14:solidFill>
          </w14:textFill>
        </w:rPr>
        <w:t>万元。</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楷体_GBK" w:cs="Times New Roman"/>
          <w:b w:val="0"/>
          <w:bCs/>
          <w:color w:val="000000" w:themeColor="text1"/>
          <w:sz w:val="32"/>
          <w:szCs w:val="32"/>
          <w14:textFill>
            <w14:solidFill>
              <w14:schemeClr w14:val="tx1"/>
            </w14:solidFill>
          </w14:textFill>
        </w:rPr>
      </w:pPr>
      <w:r>
        <w:rPr>
          <w:rFonts w:hint="default" w:ascii="Times New Roman" w:hAnsi="Times New Roman" w:eastAsia="方正楷体_GBK" w:cs="Times New Roman"/>
          <w:b w:val="0"/>
          <w:bCs/>
          <w:color w:val="000000" w:themeColor="text1"/>
          <w:sz w:val="32"/>
          <w:szCs w:val="32"/>
          <w:lang w:eastAsia="zh-CN"/>
          <w14:textFill>
            <w14:solidFill>
              <w14:schemeClr w14:val="tx1"/>
            </w14:solidFill>
          </w14:textFill>
        </w:rPr>
        <w:t>（二）</w:t>
      </w:r>
      <w:r>
        <w:rPr>
          <w:rFonts w:hint="default" w:ascii="Times New Roman" w:hAnsi="Times New Roman" w:eastAsia="方正楷体_GBK" w:cs="Times New Roman"/>
          <w:b w:val="0"/>
          <w:bCs/>
          <w:color w:val="000000" w:themeColor="text1"/>
          <w:sz w:val="32"/>
          <w:szCs w:val="32"/>
          <w14:textFill>
            <w14:solidFill>
              <w14:schemeClr w14:val="tx1"/>
            </w14:solidFill>
          </w14:textFill>
        </w:rPr>
        <w:t>绩效目标</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为靠港船舶提供标准型岸电接插箱、柜、孔等专用设施，使船舶利用电能驱动，减少用油，降低对长江环境的污染。</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黑体_GBK" w:cs="Times New Roman"/>
          <w:color w:val="000000" w:themeColor="text1"/>
          <w:sz w:val="32"/>
          <w:szCs w:val="32"/>
          <w14:textFill>
            <w14:solidFill>
              <w14:schemeClr w14:val="tx1"/>
            </w14:solidFill>
          </w14:textFill>
        </w:rPr>
      </w:pPr>
      <w:r>
        <w:rPr>
          <w:rFonts w:hint="default" w:ascii="Times New Roman" w:hAnsi="Times New Roman" w:eastAsia="方正黑体_GBK" w:cs="Times New Roman"/>
          <w:color w:val="000000" w:themeColor="text1"/>
          <w:sz w:val="32"/>
          <w:szCs w:val="32"/>
          <w14:textFill>
            <w14:solidFill>
              <w14:schemeClr w14:val="tx1"/>
            </w14:solidFill>
          </w14:textFill>
        </w:rPr>
        <w:t>二、绩效目标完成情况分析</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楷体_GBK" w:cs="Times New Roman"/>
          <w:color w:val="000000" w:themeColor="text1"/>
          <w:sz w:val="32"/>
          <w:szCs w:val="32"/>
          <w14:textFill>
            <w14:solidFill>
              <w14:schemeClr w14:val="tx1"/>
            </w14:solidFill>
          </w14:textFill>
        </w:rPr>
      </w:pPr>
      <w:r>
        <w:rPr>
          <w:rFonts w:hint="default" w:ascii="Times New Roman" w:hAnsi="Times New Roman" w:eastAsia="方正楷体_GBK" w:cs="Times New Roman"/>
          <w:color w:val="000000" w:themeColor="text1"/>
          <w:sz w:val="32"/>
          <w:szCs w:val="32"/>
          <w14:textFill>
            <w14:solidFill>
              <w14:schemeClr w14:val="tx1"/>
            </w14:solidFill>
          </w14:textFill>
        </w:rPr>
        <w:t>（一）资金投入情况分析</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1.项目资金到位情况分析</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202</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3</w:t>
      </w:r>
      <w:r>
        <w:rPr>
          <w:rFonts w:hint="default" w:ascii="Times New Roman" w:hAnsi="Times New Roman" w:eastAsia="方正仿宋_GBK" w:cs="Times New Roman"/>
          <w:color w:val="000000" w:themeColor="text1"/>
          <w:sz w:val="32"/>
          <w:szCs w:val="32"/>
          <w14:textFill>
            <w14:solidFill>
              <w14:schemeClr w14:val="tx1"/>
            </w14:solidFill>
          </w14:textFill>
        </w:rPr>
        <w:t>年</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w:t>
      </w:r>
      <w:r>
        <w:rPr>
          <w:rFonts w:hint="default" w:ascii="Times New Roman" w:hAnsi="Times New Roman" w:eastAsia="方正仿宋_GBK" w:cs="Times New Roman"/>
          <w:color w:val="000000" w:themeColor="text1"/>
          <w:sz w:val="32"/>
          <w:szCs w:val="32"/>
          <w14:textFill>
            <w14:solidFill>
              <w14:schemeClr w14:val="tx1"/>
            </w14:solidFill>
          </w14:textFill>
        </w:rPr>
        <w:t>中央、市级下达</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港口岸电标准化建设和改造</w:t>
      </w:r>
      <w:r>
        <w:rPr>
          <w:rFonts w:hint="default" w:ascii="Times New Roman" w:hAnsi="Times New Roman" w:eastAsia="方正仿宋_GBK" w:cs="Times New Roman"/>
          <w:color w:val="000000" w:themeColor="text1"/>
          <w:sz w:val="32"/>
          <w:szCs w:val="32"/>
          <w14:textFill>
            <w14:solidFill>
              <w14:schemeClr w14:val="tx1"/>
            </w14:solidFill>
          </w14:textFill>
        </w:rPr>
        <w:t>专项转移支付资金共计</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30</w:t>
      </w:r>
      <w:r>
        <w:rPr>
          <w:rFonts w:hint="default" w:ascii="Times New Roman" w:hAnsi="Times New Roman" w:eastAsia="方正仿宋_GBK" w:cs="Times New Roman"/>
          <w:color w:val="000000" w:themeColor="text1"/>
          <w:sz w:val="32"/>
          <w:szCs w:val="32"/>
          <w14:textFill>
            <w14:solidFill>
              <w14:schemeClr w14:val="tx1"/>
            </w14:solidFill>
          </w14:textFill>
        </w:rPr>
        <w:t>万元，实际到位</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30</w:t>
      </w:r>
      <w:r>
        <w:rPr>
          <w:rFonts w:hint="default" w:ascii="Times New Roman" w:hAnsi="Times New Roman" w:eastAsia="方正仿宋_GBK" w:cs="Times New Roman"/>
          <w:color w:val="000000" w:themeColor="text1"/>
          <w:sz w:val="32"/>
          <w:szCs w:val="32"/>
          <w14:textFill>
            <w14:solidFill>
              <w14:schemeClr w14:val="tx1"/>
            </w14:solidFill>
          </w14:textFill>
        </w:rPr>
        <w:t>万元。</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2.项目资金执行情况分析</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202</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3</w:t>
      </w:r>
      <w:r>
        <w:rPr>
          <w:rFonts w:hint="default" w:ascii="Times New Roman" w:hAnsi="Times New Roman" w:eastAsia="方正仿宋_GBK" w:cs="Times New Roman"/>
          <w:color w:val="000000" w:themeColor="text1"/>
          <w:sz w:val="32"/>
          <w:szCs w:val="32"/>
          <w14:textFill>
            <w14:solidFill>
              <w14:schemeClr w14:val="tx1"/>
            </w14:solidFill>
          </w14:textFill>
        </w:rPr>
        <w:t>年，中央、市级下达</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港口岸电标准化建设和改造</w:t>
      </w:r>
      <w:bookmarkStart w:id="0" w:name="_GoBack"/>
      <w:bookmarkEnd w:id="0"/>
      <w:r>
        <w:rPr>
          <w:rFonts w:hint="default" w:ascii="Times New Roman" w:hAnsi="Times New Roman" w:eastAsia="方正仿宋_GBK" w:cs="Times New Roman"/>
          <w:color w:val="000000" w:themeColor="text1"/>
          <w:sz w:val="32"/>
          <w:szCs w:val="32"/>
          <w14:textFill>
            <w14:solidFill>
              <w14:schemeClr w14:val="tx1"/>
            </w14:solidFill>
          </w14:textFill>
        </w:rPr>
        <w:t>专项转移支付资金共计</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30</w:t>
      </w:r>
      <w:r>
        <w:rPr>
          <w:rFonts w:hint="default" w:ascii="Times New Roman" w:hAnsi="Times New Roman" w:eastAsia="方正仿宋_GBK" w:cs="Times New Roman"/>
          <w:color w:val="000000" w:themeColor="text1"/>
          <w:sz w:val="32"/>
          <w:szCs w:val="32"/>
          <w14:textFill>
            <w14:solidFill>
              <w14:schemeClr w14:val="tx1"/>
            </w14:solidFill>
          </w14:textFill>
        </w:rPr>
        <w:t>万元</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w:t>
      </w:r>
      <w:r>
        <w:rPr>
          <w:rFonts w:hint="default" w:ascii="Times New Roman" w:hAnsi="Times New Roman" w:eastAsia="方正仿宋_GBK" w:cs="Times New Roman"/>
          <w:color w:val="000000" w:themeColor="text1"/>
          <w:sz w:val="32"/>
          <w:szCs w:val="32"/>
          <w14:textFill>
            <w14:solidFill>
              <w14:schemeClr w14:val="tx1"/>
            </w14:solidFill>
          </w14:textFill>
        </w:rPr>
        <w:t>实际</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支出</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30</w:t>
      </w:r>
      <w:r>
        <w:rPr>
          <w:rFonts w:hint="default" w:ascii="Times New Roman" w:hAnsi="Times New Roman" w:eastAsia="方正仿宋_GBK" w:cs="Times New Roman"/>
          <w:color w:val="000000" w:themeColor="text1"/>
          <w:sz w:val="32"/>
          <w:szCs w:val="32"/>
          <w14:textFill>
            <w14:solidFill>
              <w14:schemeClr w14:val="tx1"/>
            </w14:solidFill>
          </w14:textFill>
        </w:rPr>
        <w:t>万元，预算执行率为</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100</w:t>
      </w:r>
      <w:r>
        <w:rPr>
          <w:rFonts w:hint="default" w:ascii="Times New Roman" w:hAnsi="Times New Roman" w:eastAsia="方正仿宋_GBK" w:cs="Times New Roman"/>
          <w:color w:val="000000" w:themeColor="text1"/>
          <w:sz w:val="32"/>
          <w:szCs w:val="32"/>
          <w14:textFill>
            <w14:solidFill>
              <w14:schemeClr w14:val="tx1"/>
            </w14:solidFill>
          </w14:textFill>
        </w:rPr>
        <w:t>%</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3.项目资金管理情况分析</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在资金管理中，严格按照相关管理规定，科学分配，规范使用，准确执行，依法实施预算绩效管理，落实履行支出责任，做到资金专款专用，分类记账，独立核算，真实反映收支动态，及时公开资金管理使用情况，接受组织、个人或社会团体监督。</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楷体_GBK" w:cs="Times New Roman"/>
          <w:color w:val="000000" w:themeColor="text1"/>
          <w:sz w:val="32"/>
          <w:szCs w:val="32"/>
          <w14:textFill>
            <w14:solidFill>
              <w14:schemeClr w14:val="tx1"/>
            </w14:solidFill>
          </w14:textFill>
        </w:rPr>
      </w:pPr>
      <w:r>
        <w:rPr>
          <w:rFonts w:hint="default" w:ascii="Times New Roman" w:hAnsi="Times New Roman" w:eastAsia="方正楷体_GBK" w:cs="Times New Roman"/>
          <w:color w:val="000000" w:themeColor="text1"/>
          <w:sz w:val="32"/>
          <w:szCs w:val="32"/>
          <w14:textFill>
            <w14:solidFill>
              <w14:schemeClr w14:val="tx1"/>
            </w14:solidFill>
          </w14:textFill>
        </w:rPr>
        <w:t>（二）绩效目标完成情况分析</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1.产出指标完成情况分析</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（1）数量指标。</w:t>
      </w:r>
    </w:p>
    <w:p>
      <w:pPr>
        <w:keepNext w:val="0"/>
        <w:keepLines w:val="0"/>
        <w:pageBreakBefore w:val="0"/>
        <w:numPr>
          <w:ilvl w:val="0"/>
          <w:numId w:val="0"/>
        </w:numPr>
        <w:kinsoku/>
        <w:wordWrap/>
        <w:overflowPunct/>
        <w:topLinePunct w:val="0"/>
        <w:bidi w:val="0"/>
        <w:spacing w:line="594" w:lineRule="exact"/>
        <w:ind w:firstLine="640" w:firstLineChars="200"/>
        <w:textAlignment w:val="auto"/>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pP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完成了对1个港口企业的资金补助。</w:t>
      </w:r>
    </w:p>
    <w:p>
      <w:pPr>
        <w:keepNext w:val="0"/>
        <w:keepLines w:val="0"/>
        <w:pageBreakBefore w:val="0"/>
        <w:numPr>
          <w:ilvl w:val="0"/>
          <w:numId w:val="1"/>
        </w:numPr>
        <w:kinsoku/>
        <w:wordWrap/>
        <w:overflowPunct/>
        <w:topLinePunct w:val="0"/>
        <w:bidi w:val="0"/>
        <w:spacing w:line="594" w:lineRule="exact"/>
        <w:ind w:firstLine="640" w:firstLineChars="200"/>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质量指标</w:t>
      </w:r>
    </w:p>
    <w:p>
      <w:pPr>
        <w:keepNext w:val="0"/>
        <w:keepLines w:val="0"/>
        <w:pageBreakBefore w:val="0"/>
        <w:numPr>
          <w:ilvl w:val="0"/>
          <w:numId w:val="0"/>
        </w:numPr>
        <w:kinsoku/>
        <w:wordWrap/>
        <w:overflowPunct/>
        <w:topLinePunct w:val="0"/>
        <w:bidi w:val="0"/>
        <w:spacing w:line="594" w:lineRule="exact"/>
        <w:textAlignment w:val="auto"/>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pP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 xml:space="preserve">    船舶设施建设质量检查均合格。</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（3）时效指标</w:t>
      </w:r>
    </w:p>
    <w:p>
      <w:pPr>
        <w:keepNext w:val="0"/>
        <w:keepLines w:val="0"/>
        <w:pageBreakBefore w:val="0"/>
        <w:numPr>
          <w:ilvl w:val="0"/>
          <w:numId w:val="0"/>
        </w:numPr>
        <w:kinsoku/>
        <w:wordWrap/>
        <w:overflowPunct/>
        <w:topLinePunct w:val="0"/>
        <w:bidi w:val="0"/>
        <w:spacing w:line="594" w:lineRule="exact"/>
        <w:ind w:firstLine="640" w:firstLineChars="200"/>
        <w:textAlignment w:val="auto"/>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2"/>
          <w:szCs w:val="32"/>
          <w:lang w:eastAsia="zh-CN"/>
          <w14:textFill>
            <w14:solidFill>
              <w14:schemeClr w14:val="tx1"/>
            </w14:solidFill>
          </w14:textFill>
        </w:rPr>
        <w:t>按期完成了</w:t>
      </w:r>
      <w:r>
        <w:rPr>
          <w:rFonts w:hint="default" w:ascii="Times New Roman" w:hAnsi="Times New Roman" w:eastAsia="方正仿宋_GBK" w:cs="Times New Roman"/>
          <w:bCs/>
          <w:color w:val="000000" w:themeColor="text1"/>
          <w:sz w:val="32"/>
          <w:szCs w:val="32"/>
          <w:lang w:val="en-US" w:eastAsia="zh-CN"/>
          <w14:textFill>
            <w14:solidFill>
              <w14:schemeClr w14:val="tx1"/>
            </w14:solidFill>
          </w14:textFill>
        </w:rPr>
        <w:t>2023年度</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完成了对港口企业的资金补助。</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2.效益指标完成情况分析</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仿宋_GBK" w:cs="Times New Roman"/>
          <w:b/>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（1）社会效益</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为靠港船舶提供标准型岸电接插箱、柜、孔等专用设施，使船舶利用电能驱动，减少用油，降低对长江环境的污染。</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（2）可持续影响</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color w:val="000000" w:themeColor="text1"/>
          <w:sz w:val="32"/>
          <w:szCs w:val="32"/>
          <w:lang w:eastAsia="zh-CN"/>
          <w14:textFill>
            <w14:solidFill>
              <w14:schemeClr w14:val="tx1"/>
            </w14:solidFill>
          </w14:textFill>
        </w:rPr>
        <w:t>降低了长江环境污染，有利于长江绿色航运的发展。</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3.满意度指标完成情况分析</w:t>
      </w:r>
    </w:p>
    <w:p>
      <w:pPr>
        <w:keepNext w:val="0"/>
        <w:keepLines w:val="0"/>
        <w:pageBreakBefore w:val="0"/>
        <w:kinsoku/>
        <w:wordWrap/>
        <w:overflowPunct/>
        <w:topLinePunct w:val="0"/>
        <w:bidi w:val="0"/>
        <w:spacing w:line="594" w:lineRule="exact"/>
        <w:ind w:firstLine="640" w:firstLineChars="200"/>
        <w:contextualSpacing/>
        <w:textAlignment w:val="auto"/>
        <w:rPr>
          <w:rFonts w:hint="eastAsia" w:ascii="Times New Roman" w:hAnsi="Times New Roman" w:eastAsia="方正仿宋_GBK" w:cs="Times New Roman"/>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202</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3</w:t>
      </w:r>
      <w:r>
        <w:rPr>
          <w:rFonts w:hint="default" w:ascii="Times New Roman" w:hAnsi="Times New Roman" w:eastAsia="方正仿宋_GBK" w:cs="Times New Roman"/>
          <w:color w:val="000000" w:themeColor="text1"/>
          <w:sz w:val="32"/>
          <w:szCs w:val="32"/>
          <w14:textFill>
            <w14:solidFill>
              <w14:schemeClr w14:val="tx1"/>
            </w14:solidFill>
          </w14:textFill>
        </w:rPr>
        <w:t>年社会公众满意度年度指标全年完成值</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90</w:t>
      </w:r>
      <w:r>
        <w:rPr>
          <w:rFonts w:hint="default" w:ascii="Times New Roman" w:hAnsi="Times New Roman" w:eastAsia="方正仿宋_GBK" w:cs="Times New Roman"/>
          <w:color w:val="000000" w:themeColor="text1"/>
          <w:sz w:val="32"/>
          <w:szCs w:val="32"/>
          <w14:textFill>
            <w14:solidFill>
              <w14:schemeClr w14:val="tx1"/>
            </w14:solidFill>
          </w14:textFill>
        </w:rPr>
        <w:t>%。</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通过对</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港口企业的资金补助，</w:t>
      </w:r>
      <w:r>
        <w:rPr>
          <w:rFonts w:hint="default" w:ascii="Times New Roman" w:hAnsi="Times New Roman" w:eastAsia="方正仿宋_GBK" w:cs="Times New Roman"/>
          <w:color w:val="000000" w:themeColor="text1"/>
          <w:sz w:val="32"/>
          <w:szCs w:val="32"/>
          <w14:textFill>
            <w14:solidFill>
              <w14:schemeClr w14:val="tx1"/>
            </w14:solidFill>
          </w14:textFill>
        </w:rPr>
        <w:t>为靠港船舶提供标准型岸电接插箱、柜、孔等专用设施，使船舶利用电能驱动，减少用油，</w:t>
      </w: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有效</w:t>
      </w:r>
      <w:r>
        <w:rPr>
          <w:rFonts w:hint="default" w:ascii="Times New Roman" w:hAnsi="Times New Roman" w:eastAsia="方正仿宋_GBK" w:cs="Times New Roman"/>
          <w:color w:val="000000" w:themeColor="text1"/>
          <w:sz w:val="32"/>
          <w:szCs w:val="32"/>
          <w14:textFill>
            <w14:solidFill>
              <w14:schemeClr w14:val="tx1"/>
            </w14:solidFill>
          </w14:textFill>
        </w:rPr>
        <w:t>降低</w:t>
      </w: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了</w:t>
      </w:r>
      <w:r>
        <w:rPr>
          <w:rFonts w:hint="default" w:ascii="Times New Roman" w:hAnsi="Times New Roman" w:eastAsia="方正仿宋_GBK" w:cs="Times New Roman"/>
          <w:color w:val="000000" w:themeColor="text1"/>
          <w:sz w:val="32"/>
          <w:szCs w:val="32"/>
          <w14:textFill>
            <w14:solidFill>
              <w14:schemeClr w14:val="tx1"/>
            </w14:solidFill>
          </w14:textFill>
        </w:rPr>
        <w:t>对长江环境的污染</w:t>
      </w: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，得到群众一致好评。</w:t>
      </w:r>
    </w:p>
    <w:p>
      <w:pPr>
        <w:keepNext w:val="0"/>
        <w:keepLines w:val="0"/>
        <w:pageBreakBefore w:val="0"/>
        <w:widowControl w:val="0"/>
        <w:numPr>
          <w:ilvl w:val="0"/>
          <w:numId w:val="0"/>
        </w:numPr>
        <w:kinsoku/>
        <w:wordWrap/>
        <w:overflowPunct/>
        <w:topLinePunct w:val="0"/>
        <w:autoSpaceDE/>
        <w:autoSpaceDN/>
        <w:bidi w:val="0"/>
        <w:adjustRightInd/>
        <w:snapToGrid/>
        <w:spacing w:line="594" w:lineRule="exact"/>
        <w:ind w:firstLine="640" w:firstLineChars="200"/>
        <w:contextualSpacing/>
        <w:textAlignment w:val="auto"/>
        <w:rPr>
          <w:rFonts w:hint="default" w:ascii="Times New Roman" w:hAnsi="Times New Roman" w:eastAsia="方正黑体_GBK" w:cs="Times New Roman"/>
          <w:color w:val="000000" w:themeColor="text1"/>
          <w:sz w:val="32"/>
          <w:szCs w:val="32"/>
          <w14:textFill>
            <w14:solidFill>
              <w14:schemeClr w14:val="tx1"/>
            </w14:solidFill>
          </w14:textFill>
        </w:rPr>
      </w:pPr>
      <w:r>
        <w:rPr>
          <w:rFonts w:hint="default" w:ascii="Times New Roman" w:hAnsi="Times New Roman" w:eastAsia="方正黑体_GBK" w:cs="Times New Roman"/>
          <w:color w:val="000000" w:themeColor="text1"/>
          <w:sz w:val="32"/>
          <w:szCs w:val="32"/>
          <w:lang w:eastAsia="zh-CN"/>
          <w14:textFill>
            <w14:solidFill>
              <w14:schemeClr w14:val="tx1"/>
            </w14:solidFill>
          </w14:textFill>
        </w:rPr>
        <w:t>三、</w:t>
      </w:r>
      <w:r>
        <w:rPr>
          <w:rFonts w:hint="default" w:ascii="Times New Roman" w:hAnsi="Times New Roman" w:eastAsia="方正黑体_GBK" w:cs="Times New Roman"/>
          <w:color w:val="000000" w:themeColor="text1"/>
          <w:sz w:val="32"/>
          <w:szCs w:val="32"/>
          <w14:textFill>
            <w14:solidFill>
              <w14:schemeClr w14:val="tx1"/>
            </w14:solidFill>
          </w14:textFill>
        </w:rPr>
        <w:t>偏离绩效目标的原因和下一步改进措施 　　</w:t>
      </w:r>
    </w:p>
    <w:p>
      <w:pPr>
        <w:keepNext w:val="0"/>
        <w:keepLines w:val="0"/>
        <w:pageBreakBefore w:val="0"/>
        <w:kinsoku/>
        <w:wordWrap/>
        <w:overflowPunct/>
        <w:topLinePunct w:val="0"/>
        <w:autoSpaceDE w:val="0"/>
        <w:autoSpaceDN w:val="0"/>
        <w:bidi w:val="0"/>
        <w:adjustRightInd w:val="0"/>
        <w:spacing w:line="594" w:lineRule="exact"/>
        <w:ind w:firstLine="640" w:firstLineChars="200"/>
        <w:textAlignment w:val="auto"/>
        <w:rPr>
          <w:rFonts w:hint="default" w:ascii="Times New Roman" w:hAnsi="Times New Roman" w:eastAsia="方正仿宋_GBK" w:cs="Times New Roman"/>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color w:val="000000" w:themeColor="text1"/>
          <w:sz w:val="32"/>
          <w:szCs w:val="32"/>
          <w:lang w:eastAsia="zh-CN"/>
          <w14:textFill>
            <w14:solidFill>
              <w14:schemeClr w14:val="tx1"/>
            </w14:solidFill>
          </w14:textFill>
        </w:rPr>
        <w:t>总体实现了全年预定的绩效目标，下一步将继续加强专项资金的使用管理。</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kern w:val="0"/>
          <w:sz w:val="32"/>
          <w:szCs w:val="32"/>
          <w14:textFill>
            <w14:solidFill>
              <w14:schemeClr w14:val="tx1"/>
            </w14:solidFill>
          </w14:textFill>
        </w:rPr>
      </w:pPr>
      <w:r>
        <w:rPr>
          <w:rFonts w:hint="default" w:ascii="Times New Roman" w:hAnsi="Times New Roman" w:eastAsia="方正黑体_GBK" w:cs="Times New Roman"/>
          <w:color w:val="000000" w:themeColor="text1"/>
          <w:sz w:val="32"/>
          <w:szCs w:val="32"/>
          <w14:textFill>
            <w14:solidFill>
              <w14:schemeClr w14:val="tx1"/>
            </w14:solidFill>
          </w14:textFill>
        </w:rPr>
        <w:t>四、绩效自评结果拟应用和公开情况 　</w:t>
      </w:r>
      <w:r>
        <w:rPr>
          <w:rFonts w:hint="default" w:ascii="Times New Roman" w:hAnsi="Times New Roman" w:eastAsia="方正仿宋_GBK" w:cs="Times New Roman"/>
          <w:color w:val="000000" w:themeColor="text1"/>
          <w:kern w:val="0"/>
          <w:sz w:val="32"/>
          <w:szCs w:val="32"/>
          <w14:textFill>
            <w14:solidFill>
              <w14:schemeClr w14:val="tx1"/>
            </w14:solidFill>
          </w14:textFill>
        </w:rPr>
        <w:t>　 </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通过本次绩效自评，我</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中心</w:t>
      </w:r>
      <w:r>
        <w:rPr>
          <w:rFonts w:hint="default" w:ascii="Times New Roman" w:hAnsi="Times New Roman" w:eastAsia="方正仿宋_GBK" w:cs="Times New Roman"/>
          <w:color w:val="000000" w:themeColor="text1"/>
          <w:sz w:val="32"/>
          <w:szCs w:val="32"/>
          <w14:textFill>
            <w14:solidFill>
              <w14:schemeClr w14:val="tx1"/>
            </w14:solidFill>
          </w14:textFill>
        </w:rPr>
        <w:t>将以此次自评工作为指引，规范资金使用方向，进一步提高资金使用效率，严格项目管理</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，并按照相关规定向社会依法公开。</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lang w:eastAsia="zh-CN"/>
          <w14:textFill>
            <w14:solidFill>
              <w14:schemeClr w14:val="tx1"/>
            </w14:solidFill>
          </w14:textFill>
        </w:rPr>
      </w:pPr>
    </w:p>
    <w:p>
      <w:pPr>
        <w:keepNext w:val="0"/>
        <w:keepLines w:val="0"/>
        <w:pageBreakBefore w:val="0"/>
        <w:kinsoku/>
        <w:wordWrap/>
        <w:overflowPunct/>
        <w:topLinePunct w:val="0"/>
        <w:bidi w:val="0"/>
        <w:spacing w:line="594" w:lineRule="exact"/>
        <w:ind w:right="1260" w:rightChars="600" w:firstLine="640" w:firstLineChars="200"/>
        <w:contextualSpacing/>
        <w:jc w:val="right"/>
        <w:textAlignment w:val="auto"/>
        <w:rPr>
          <w:rFonts w:hint="default" w:ascii="Times New Roman" w:hAnsi="Times New Roman" w:eastAsia="方正仿宋_GBK" w:cs="Times New Roman"/>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忠县</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港航事业管理中心</w:t>
      </w:r>
    </w:p>
    <w:p>
      <w:pPr>
        <w:keepNext w:val="0"/>
        <w:keepLines w:val="0"/>
        <w:pageBreakBefore w:val="0"/>
        <w:kinsoku/>
        <w:wordWrap/>
        <w:overflowPunct/>
        <w:topLinePunct w:val="0"/>
        <w:bidi w:val="0"/>
        <w:spacing w:line="594" w:lineRule="exact"/>
        <w:ind w:firstLine="4800" w:firstLineChars="15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202</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4</w:t>
      </w:r>
      <w:r>
        <w:rPr>
          <w:rFonts w:hint="default" w:ascii="Times New Roman" w:hAnsi="Times New Roman" w:eastAsia="方正仿宋_GBK" w:cs="Times New Roman"/>
          <w:color w:val="000000" w:themeColor="text1"/>
          <w:sz w:val="32"/>
          <w:szCs w:val="32"/>
          <w14:textFill>
            <w14:solidFill>
              <w14:schemeClr w14:val="tx1"/>
            </w14:solidFill>
          </w14:textFill>
        </w:rPr>
        <w:t>年</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6</w:t>
      </w:r>
      <w:r>
        <w:rPr>
          <w:rFonts w:hint="default" w:ascii="Times New Roman" w:hAnsi="Times New Roman" w:eastAsia="方正仿宋_GBK" w:cs="Times New Roman"/>
          <w:color w:val="000000" w:themeColor="text1"/>
          <w:sz w:val="32"/>
          <w:szCs w:val="32"/>
          <w14:textFill>
            <w14:solidFill>
              <w14:schemeClr w14:val="tx1"/>
            </w14:solidFill>
          </w14:textFill>
        </w:rPr>
        <w:t>月</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24</w:t>
      </w:r>
      <w:r>
        <w:rPr>
          <w:rFonts w:hint="default" w:ascii="Times New Roman" w:hAnsi="Times New Roman" w:eastAsia="方正仿宋_GBK" w:cs="Times New Roman"/>
          <w:color w:val="000000" w:themeColor="text1"/>
          <w:sz w:val="32"/>
          <w:szCs w:val="32"/>
          <w14:textFill>
            <w14:solidFill>
              <w14:schemeClr w14:val="tx1"/>
            </w14:solidFill>
          </w14:textFill>
        </w:rPr>
        <w:t>日</w:t>
      </w:r>
    </w:p>
    <w:p>
      <w:pPr>
        <w:keepNext w:val="0"/>
        <w:keepLines w:val="0"/>
        <w:pageBreakBefore w:val="0"/>
        <w:kinsoku/>
        <w:wordWrap/>
        <w:overflowPunct/>
        <w:topLinePunct w:val="0"/>
        <w:bidi w:val="0"/>
        <w:spacing w:line="594" w:lineRule="exact"/>
        <w:ind w:firstLine="420" w:firstLineChars="200"/>
        <w:textAlignment w:val="auto"/>
        <w:rPr>
          <w:rFonts w:hint="default" w:ascii="Times New Roman" w:hAnsi="Times New Roman" w:cs="Times New Roman"/>
          <w:color w:val="000000" w:themeColor="text1"/>
          <w14:textFill>
            <w14:solidFill>
              <w14:schemeClr w14:val="tx1"/>
            </w14:solidFill>
          </w14:textFill>
        </w:rPr>
      </w:pPr>
    </w:p>
    <w:sectPr>
      <w:footerReference r:id="rId3" w:type="default"/>
      <w:footerReference r:id="rId4" w:type="even"/>
      <w:pgSz w:w="11906" w:h="16838"/>
      <w:pgMar w:top="1985" w:right="1474" w:bottom="1985" w:left="1588" w:header="851" w:footer="1588"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wis721 BT">
    <w:altName w:val="Segoe Script"/>
    <w:panose1 w:val="00000000000000000000"/>
    <w:charset w:val="00"/>
    <w:family w:val="swiss"/>
    <w:pitch w:val="default"/>
    <w:sig w:usb0="00000000" w:usb1="00000000" w:usb2="00000000" w:usb3="00000000" w:csb0="0000001B"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Segoe Script">
    <w:panose1 w:val="020B0504020000000003"/>
    <w:charset w:val="00"/>
    <w:family w:val="auto"/>
    <w:pitch w:val="default"/>
    <w:sig w:usb0="0000028F"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10 -</w:t>
    </w:r>
    <w:r>
      <w:rPr>
        <w:rFonts w:ascii="宋体" w:hAnsi="宋体"/>
        <w:sz w:val="28"/>
        <w:szCs w:val="28"/>
      </w:rPr>
      <w:fldChar w:fldCharType="end"/>
    </w:r>
    <w:r>
      <w:rPr>
        <w:rFonts w:hint="eastAsia" w:ascii="宋体" w:hAnsi="宋体"/>
        <w:sz w:val="28"/>
        <w:szCs w:val="28"/>
      </w:rPr>
      <w:t xml:space="preserve">  </w: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280" w:firstLineChars="100"/>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p>
    <w:pPr>
      <w:pStyle w:val="2"/>
      <w:rPr>
        <w:rFonts w:ascii="宋体" w:hAnsi="宋体"/>
        <w:sz w:val="28"/>
        <w:szCs w:val="2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F013B9"/>
    <w:multiLevelType w:val="singleLevel"/>
    <w:tmpl w:val="57F013B9"/>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4ODFlNDY1MWVhNjhkN2EyODZhN2NlYjYyMWFjM2MifQ=="/>
  </w:docVars>
  <w:rsids>
    <w:rsidRoot w:val="00A45DC5"/>
    <w:rsid w:val="0001212D"/>
    <w:rsid w:val="000242BD"/>
    <w:rsid w:val="00053AAF"/>
    <w:rsid w:val="000A1EA6"/>
    <w:rsid w:val="000A335E"/>
    <w:rsid w:val="000A73DE"/>
    <w:rsid w:val="000C2B35"/>
    <w:rsid w:val="000D04AF"/>
    <w:rsid w:val="000D3573"/>
    <w:rsid w:val="000E75A8"/>
    <w:rsid w:val="000F1791"/>
    <w:rsid w:val="001003D3"/>
    <w:rsid w:val="00100EE5"/>
    <w:rsid w:val="00100FAA"/>
    <w:rsid w:val="00112487"/>
    <w:rsid w:val="00114B42"/>
    <w:rsid w:val="00115069"/>
    <w:rsid w:val="001316AD"/>
    <w:rsid w:val="0014015A"/>
    <w:rsid w:val="001736D0"/>
    <w:rsid w:val="001758FE"/>
    <w:rsid w:val="00191CE5"/>
    <w:rsid w:val="001B0CA9"/>
    <w:rsid w:val="001C6191"/>
    <w:rsid w:val="001E1263"/>
    <w:rsid w:val="001E485E"/>
    <w:rsid w:val="001E5373"/>
    <w:rsid w:val="001F451D"/>
    <w:rsid w:val="00203E98"/>
    <w:rsid w:val="00246C31"/>
    <w:rsid w:val="00253ADE"/>
    <w:rsid w:val="002658A6"/>
    <w:rsid w:val="00266E07"/>
    <w:rsid w:val="00266FE4"/>
    <w:rsid w:val="00276650"/>
    <w:rsid w:val="00292C0D"/>
    <w:rsid w:val="002A356E"/>
    <w:rsid w:val="002A485A"/>
    <w:rsid w:val="002B08D9"/>
    <w:rsid w:val="002B247C"/>
    <w:rsid w:val="002B2DE6"/>
    <w:rsid w:val="002D1ABE"/>
    <w:rsid w:val="002D7BBC"/>
    <w:rsid w:val="002E192A"/>
    <w:rsid w:val="002F41EC"/>
    <w:rsid w:val="00306C62"/>
    <w:rsid w:val="003136F9"/>
    <w:rsid w:val="00314C93"/>
    <w:rsid w:val="003158E4"/>
    <w:rsid w:val="0032494B"/>
    <w:rsid w:val="00360D65"/>
    <w:rsid w:val="00366275"/>
    <w:rsid w:val="00375120"/>
    <w:rsid w:val="003753AE"/>
    <w:rsid w:val="003768F6"/>
    <w:rsid w:val="0038447B"/>
    <w:rsid w:val="00396885"/>
    <w:rsid w:val="00397B18"/>
    <w:rsid w:val="003B1BB5"/>
    <w:rsid w:val="003C00DD"/>
    <w:rsid w:val="003E1BB3"/>
    <w:rsid w:val="00402D90"/>
    <w:rsid w:val="00415DF9"/>
    <w:rsid w:val="004235D8"/>
    <w:rsid w:val="00423B6F"/>
    <w:rsid w:val="00445AC4"/>
    <w:rsid w:val="00446277"/>
    <w:rsid w:val="0048126C"/>
    <w:rsid w:val="00483E3C"/>
    <w:rsid w:val="00485311"/>
    <w:rsid w:val="004A3FA4"/>
    <w:rsid w:val="004B2341"/>
    <w:rsid w:val="004B46AD"/>
    <w:rsid w:val="004D180C"/>
    <w:rsid w:val="004E1C37"/>
    <w:rsid w:val="004F2668"/>
    <w:rsid w:val="005667BC"/>
    <w:rsid w:val="005806A7"/>
    <w:rsid w:val="005A0885"/>
    <w:rsid w:val="005A5D2D"/>
    <w:rsid w:val="005D529B"/>
    <w:rsid w:val="005F2EE4"/>
    <w:rsid w:val="006033B1"/>
    <w:rsid w:val="006137D2"/>
    <w:rsid w:val="006214AD"/>
    <w:rsid w:val="006426F5"/>
    <w:rsid w:val="00645F5A"/>
    <w:rsid w:val="00670B4B"/>
    <w:rsid w:val="006851FE"/>
    <w:rsid w:val="00702C55"/>
    <w:rsid w:val="00736DAD"/>
    <w:rsid w:val="00764F25"/>
    <w:rsid w:val="0077667A"/>
    <w:rsid w:val="007771A1"/>
    <w:rsid w:val="007A2499"/>
    <w:rsid w:val="007B5896"/>
    <w:rsid w:val="007C3A53"/>
    <w:rsid w:val="007E0711"/>
    <w:rsid w:val="00810149"/>
    <w:rsid w:val="008139B2"/>
    <w:rsid w:val="0082578E"/>
    <w:rsid w:val="00836EDD"/>
    <w:rsid w:val="00842AB4"/>
    <w:rsid w:val="00846A19"/>
    <w:rsid w:val="00883BB2"/>
    <w:rsid w:val="00897A95"/>
    <w:rsid w:val="00904955"/>
    <w:rsid w:val="0090642C"/>
    <w:rsid w:val="0094432F"/>
    <w:rsid w:val="00946091"/>
    <w:rsid w:val="0095208A"/>
    <w:rsid w:val="00972E85"/>
    <w:rsid w:val="00984DEA"/>
    <w:rsid w:val="00986B48"/>
    <w:rsid w:val="009C2676"/>
    <w:rsid w:val="009D49D8"/>
    <w:rsid w:val="009E4DC4"/>
    <w:rsid w:val="009F2BA1"/>
    <w:rsid w:val="00A044A2"/>
    <w:rsid w:val="00A06638"/>
    <w:rsid w:val="00A07D07"/>
    <w:rsid w:val="00A10458"/>
    <w:rsid w:val="00A23C14"/>
    <w:rsid w:val="00A3024F"/>
    <w:rsid w:val="00A37DB4"/>
    <w:rsid w:val="00A45DC5"/>
    <w:rsid w:val="00A72489"/>
    <w:rsid w:val="00A74B08"/>
    <w:rsid w:val="00A75E20"/>
    <w:rsid w:val="00A76D1D"/>
    <w:rsid w:val="00A77AB4"/>
    <w:rsid w:val="00A82A5A"/>
    <w:rsid w:val="00AB0512"/>
    <w:rsid w:val="00AB3B36"/>
    <w:rsid w:val="00AC087E"/>
    <w:rsid w:val="00AC2ECC"/>
    <w:rsid w:val="00AC78DA"/>
    <w:rsid w:val="00AE25C6"/>
    <w:rsid w:val="00AF206B"/>
    <w:rsid w:val="00B05957"/>
    <w:rsid w:val="00B42D71"/>
    <w:rsid w:val="00B461F6"/>
    <w:rsid w:val="00B90210"/>
    <w:rsid w:val="00B94E6F"/>
    <w:rsid w:val="00BA6417"/>
    <w:rsid w:val="00BA6F53"/>
    <w:rsid w:val="00BC26E1"/>
    <w:rsid w:val="00BD3FE1"/>
    <w:rsid w:val="00BD7F15"/>
    <w:rsid w:val="00BE4453"/>
    <w:rsid w:val="00BF3321"/>
    <w:rsid w:val="00C174CA"/>
    <w:rsid w:val="00C238F0"/>
    <w:rsid w:val="00C6568D"/>
    <w:rsid w:val="00C9279A"/>
    <w:rsid w:val="00C9776C"/>
    <w:rsid w:val="00CF39E6"/>
    <w:rsid w:val="00CF538B"/>
    <w:rsid w:val="00D06FCE"/>
    <w:rsid w:val="00D120D9"/>
    <w:rsid w:val="00D35E9A"/>
    <w:rsid w:val="00D62D23"/>
    <w:rsid w:val="00D651C0"/>
    <w:rsid w:val="00D65401"/>
    <w:rsid w:val="00D74733"/>
    <w:rsid w:val="00D83E9B"/>
    <w:rsid w:val="00DA4DAA"/>
    <w:rsid w:val="00DA5A46"/>
    <w:rsid w:val="00DC4371"/>
    <w:rsid w:val="00DC522E"/>
    <w:rsid w:val="00DE3368"/>
    <w:rsid w:val="00DE4CAE"/>
    <w:rsid w:val="00DF3C4A"/>
    <w:rsid w:val="00DF487C"/>
    <w:rsid w:val="00E33277"/>
    <w:rsid w:val="00E659AE"/>
    <w:rsid w:val="00E801EF"/>
    <w:rsid w:val="00E8126A"/>
    <w:rsid w:val="00E81C29"/>
    <w:rsid w:val="00EA64F8"/>
    <w:rsid w:val="00EF010A"/>
    <w:rsid w:val="00F04499"/>
    <w:rsid w:val="00F12C35"/>
    <w:rsid w:val="00F13D84"/>
    <w:rsid w:val="00F17AED"/>
    <w:rsid w:val="00F41979"/>
    <w:rsid w:val="00F420A5"/>
    <w:rsid w:val="00F563A0"/>
    <w:rsid w:val="00F758AF"/>
    <w:rsid w:val="00F77A46"/>
    <w:rsid w:val="00F903D3"/>
    <w:rsid w:val="00F96C7E"/>
    <w:rsid w:val="00FA3E7E"/>
    <w:rsid w:val="00FE1D38"/>
    <w:rsid w:val="00FF58B9"/>
    <w:rsid w:val="035E43DC"/>
    <w:rsid w:val="0B394117"/>
    <w:rsid w:val="11804638"/>
    <w:rsid w:val="120F42E7"/>
    <w:rsid w:val="1770492A"/>
    <w:rsid w:val="1ED775EF"/>
    <w:rsid w:val="220B0E28"/>
    <w:rsid w:val="267A41FB"/>
    <w:rsid w:val="26B83901"/>
    <w:rsid w:val="2C665580"/>
    <w:rsid w:val="307D52A7"/>
    <w:rsid w:val="327344AF"/>
    <w:rsid w:val="36B740FC"/>
    <w:rsid w:val="39E31E00"/>
    <w:rsid w:val="3B111A88"/>
    <w:rsid w:val="3D8037A1"/>
    <w:rsid w:val="4173673A"/>
    <w:rsid w:val="41746BF2"/>
    <w:rsid w:val="48325EFC"/>
    <w:rsid w:val="54661048"/>
    <w:rsid w:val="54DD5033"/>
    <w:rsid w:val="55531449"/>
    <w:rsid w:val="60E34D31"/>
    <w:rsid w:val="64496858"/>
    <w:rsid w:val="64646E88"/>
    <w:rsid w:val="66313355"/>
    <w:rsid w:val="69190839"/>
    <w:rsid w:val="6AC5742E"/>
    <w:rsid w:val="6C6B0885"/>
    <w:rsid w:val="6DCD4D26"/>
    <w:rsid w:val="6E6D56B0"/>
    <w:rsid w:val="6E7D2816"/>
    <w:rsid w:val="6FBB6E0E"/>
    <w:rsid w:val="738B1BB3"/>
    <w:rsid w:val="79337E5D"/>
    <w:rsid w:val="7A755286"/>
    <w:rsid w:val="7C0F6CA7"/>
    <w:rsid w:val="7C4E59C5"/>
    <w:rsid w:val="7D062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6"/>
    <w:autoRedefine/>
    <w:unhideWhenUsed/>
    <w:qFormat/>
    <w:uiPriority w:val="99"/>
    <w:pPr>
      <w:tabs>
        <w:tab w:val="center" w:pos="4153"/>
        <w:tab w:val="right" w:pos="8306"/>
      </w:tabs>
      <w:snapToGrid w:val="0"/>
      <w:jc w:val="left"/>
    </w:pPr>
    <w:rPr>
      <w:sz w:val="18"/>
      <w:szCs w:val="18"/>
    </w:rPr>
  </w:style>
  <w:style w:type="paragraph" w:styleId="3">
    <w:name w:val="Normal (Web)"/>
    <w:basedOn w:val="1"/>
    <w:autoRedefine/>
    <w:unhideWhenUsed/>
    <w:qFormat/>
    <w:uiPriority w:val="99"/>
    <w:pPr>
      <w:widowControl/>
      <w:spacing w:after="100" w:afterAutospacing="1"/>
      <w:jc w:val="left"/>
    </w:pPr>
    <w:rPr>
      <w:rFonts w:ascii="宋体" w:hAnsi="宋体" w:cs="宋体"/>
      <w:kern w:val="0"/>
      <w:sz w:val="24"/>
      <w:szCs w:val="24"/>
    </w:rPr>
  </w:style>
  <w:style w:type="character" w:customStyle="1" w:styleId="6">
    <w:name w:val="页脚 Char"/>
    <w:basedOn w:val="5"/>
    <w:link w:val="2"/>
    <w:autoRedefine/>
    <w:qFormat/>
    <w:uiPriority w:val="99"/>
    <w:rPr>
      <w:rFonts w:ascii="Calibri" w:hAnsi="Calibri" w:eastAsia="宋体" w:cs="Times New Roman"/>
      <w:sz w:val="18"/>
      <w:szCs w:val="18"/>
    </w:rPr>
  </w:style>
  <w:style w:type="paragraph" w:customStyle="1" w:styleId="7">
    <w:name w:val="字元 字元1 Char Char 字元 字元 Char Char 字元 字元 字元 字元 字元 字元 字元 字元 Char Char 字元 字元 字元 Char Char 字元 字元 字元 Char Char 字元 字元 字元 字元 字元 字元 字元 字元 字元 字元 字元 Char Char 字元 字元 字元"/>
    <w:basedOn w:val="1"/>
    <w:autoRedefine/>
    <w:qFormat/>
    <w:uiPriority w:val="0"/>
    <w:pPr>
      <w:widowControl/>
      <w:spacing w:after="160" w:line="240" w:lineRule="exact"/>
      <w:jc w:val="left"/>
    </w:pPr>
    <w:rPr>
      <w:rFonts w:ascii="Times New Roman" w:hAnsi="Times New Roman"/>
      <w:szCs w:val="20"/>
    </w:rPr>
  </w:style>
  <w:style w:type="paragraph" w:customStyle="1" w:styleId="8">
    <w:name w:val="正文缩2"/>
    <w:autoRedefine/>
    <w:qFormat/>
    <w:uiPriority w:val="0"/>
    <w:pPr>
      <w:spacing w:line="360" w:lineRule="auto"/>
      <w:ind w:firstLine="560" w:firstLineChars="200"/>
    </w:pPr>
    <w:rPr>
      <w:rFonts w:ascii="Times New Roman" w:hAnsi="Times New Roman" w:eastAsia="宋体" w:cs="Times New Roman"/>
      <w:kern w:val="0"/>
      <w:sz w:val="24"/>
      <w:szCs w:val="24"/>
      <w:lang w:val="en-US" w:eastAsia="zh-CN" w:bidi="ar-SA"/>
    </w:rPr>
  </w:style>
  <w:style w:type="paragraph" w:customStyle="1" w:styleId="9">
    <w:name w:val="样式 公标题2 + 段前: 0.5 行 段后: 0.5 行5"/>
    <w:basedOn w:val="1"/>
    <w:autoRedefine/>
    <w:qFormat/>
    <w:uiPriority w:val="0"/>
    <w:pPr>
      <w:adjustRightInd w:val="0"/>
      <w:snapToGrid w:val="0"/>
      <w:spacing w:beforeLines="50" w:afterLines="50" w:line="355" w:lineRule="auto"/>
      <w:outlineLvl w:val="1"/>
    </w:pPr>
    <w:rPr>
      <w:rFonts w:ascii="Swis721 BT" w:hAnsi="Swis721 BT" w:eastAsia="黑体" w:cs="宋体"/>
      <w:sz w:val="32"/>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7F4807E-F171-4D4D-BE4C-EF6CD8ED1C2E}">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778</Words>
  <Characters>4441</Characters>
  <Lines>37</Lines>
  <Paragraphs>10</Paragraphs>
  <TotalTime>0</TotalTime>
  <ScaleCrop>false</ScaleCrop>
  <LinksUpToDate>false</LinksUpToDate>
  <CharactersWithSpaces>5209</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2020-06-29T09:05:00Z</dcterms:created>
  <dc:creator>Administrator</dc:creator>
  <cp:lastModifiedBy>谭敏</cp:lastModifiedBy>
  <cp:lastPrinted>2024-06-25T01:00:00Z</cp:lastPrinted>
  <dcterms:modified xsi:type="dcterms:W3CDTF">2024-06-25T03:10:52Z</dcterms:modified>
  <cp:revision>181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3103D16951654503BE049BF971A23BC0_13</vt:lpwstr>
  </property>
</Properties>
</file>