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港航海事业务费</w:t>
      </w:r>
      <w:r>
        <w:rPr>
          <w:rFonts w:hint="default" w:ascii="Times New Roman" w:hAnsi="Times New Roman" w:eastAsia="方正小标宋_GBK" w:cs="Times New Roman"/>
          <w:sz w:val="44"/>
          <w:szCs w:val="44"/>
        </w:rPr>
        <w:t>转移支付202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港航海事业务费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99.68</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 xml:space="preserve"> 负责地方海事、船舶管理、船员管理等事务工作。</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港航海事业务费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99.68</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99.68</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港航海事业务费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99.68</w:t>
      </w:r>
      <w:r>
        <w:rPr>
          <w:rFonts w:hint="default" w:ascii="Times New Roman" w:hAnsi="Times New Roman" w:eastAsia="方正仿宋_GBK" w:cs="Times New Roman"/>
          <w:color w:val="000000" w:themeColor="text1"/>
          <w:sz w:val="32"/>
          <w:szCs w:val="32"/>
          <w14:textFill>
            <w14:solidFill>
              <w14:schemeClr w14:val="tx1"/>
            </w14:solidFill>
          </w14:textFill>
        </w:rPr>
        <w:t>万元，实际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49.00</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49.15</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widowControl/>
        <w:shd w:val="clear" w:color="auto" w:fill="FFFFFF"/>
        <w:kinsoku/>
        <w:wordWrap/>
        <w:overflowPunct/>
        <w:topLinePunct w:val="0"/>
        <w:autoSpaceDE/>
        <w:autoSpaceDN/>
        <w:bidi w:val="0"/>
        <w:adjustRightInd/>
        <w:snapToGrid/>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pStyle w:val="3"/>
        <w:keepNext w:val="0"/>
        <w:keepLines w:val="0"/>
        <w:pageBreakBefore w:val="0"/>
        <w:widowControl/>
        <w:shd w:val="clear" w:color="auto" w:fill="FFFFFF"/>
        <w:kinsoku/>
        <w:wordWrap/>
        <w:overflowPunct/>
        <w:topLinePunct w:val="0"/>
        <w:autoSpaceDE/>
        <w:autoSpaceDN/>
        <w:bidi w:val="0"/>
        <w:adjustRightInd/>
        <w:snapToGrid/>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（1）数量指标</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全年累计出动海巡艇78艘次，检查港航企业117次；全年共计办理许可业务491件（行政许可事项239件，其他公共服务事项252件）；完成29家企业（含个体工商户）共计85艘客货运输船舶经营资质核查工作；参加2023</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年</w:t>
      </w:r>
      <w:bookmarkStart w:id="0" w:name="_GoBack"/>
      <w:bookmarkEnd w:id="0"/>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川渝水上交通突发事件应急演练1次，牵头筹备并开展忠县2023年水上交通突发事件综合应急演练1次，组织开展航运企业船岸联合演练、船舶消防演练、港口码头综合应急演练共计700余次。</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（2）质量指标</w:t>
      </w:r>
    </w:p>
    <w:p>
      <w:pPr>
        <w:keepNext w:val="0"/>
        <w:keepLines w:val="0"/>
        <w:pageBreakBefore w:val="0"/>
        <w:kinsoku/>
        <w:wordWrap/>
        <w:overflowPunct/>
        <w:topLinePunct w:val="0"/>
        <w:bidi w:val="0"/>
        <w:spacing w:line="594" w:lineRule="exact"/>
        <w:ind w:firstLine="640" w:firstLineChars="200"/>
        <w:textAlignment w:val="auto"/>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实现对</w:t>
      </w:r>
      <w:r>
        <w:rPr>
          <w:rFonts w:hint="default" w:ascii="Times New Roman" w:hAnsi="Times New Roman" w:eastAsia="方正仿宋_GBK" w:cs="Times New Roman"/>
          <w:color w:val="000000" w:themeColor="text1"/>
          <w:sz w:val="32"/>
          <w:szCs w:val="32"/>
          <w14:textFill>
            <w14:solidFill>
              <w14:schemeClr w14:val="tx1"/>
            </w14:solidFill>
          </w14:textFill>
        </w:rPr>
        <w:t>地方海事</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船舶管理、船员管理等事务</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性</w:t>
      </w:r>
      <w:r>
        <w:rPr>
          <w:rFonts w:hint="default" w:ascii="Times New Roman" w:hAnsi="Times New Roman" w:eastAsia="方正仿宋_GBK" w:cs="Times New Roman"/>
          <w:color w:val="000000" w:themeColor="text1"/>
          <w:sz w:val="32"/>
          <w:szCs w:val="32"/>
          <w14:textFill>
            <w14:solidFill>
              <w14:schemeClr w14:val="tx1"/>
            </w14:solidFill>
          </w14:textFill>
        </w:rPr>
        <w:t>工作</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kern w:val="0"/>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eastAsia" w:ascii="Times New Roman" w:hAnsi="Times New Roman" w:eastAsia="方正仿宋_GBK" w:cs="Times New Roman"/>
          <w:bCs/>
          <w:color w:val="000000" w:themeColor="text1"/>
          <w:sz w:val="32"/>
          <w:szCs w:val="32"/>
          <w:lang w:val="en-US" w:eastAsia="zh-CN"/>
          <w14:textFill>
            <w14:solidFill>
              <w14:schemeClr w14:val="tx1"/>
            </w14:solidFill>
          </w14:textFill>
        </w:rPr>
        <w:t>对</w:t>
      </w:r>
      <w:r>
        <w:rPr>
          <w:rFonts w:hint="default" w:ascii="Times New Roman" w:hAnsi="Times New Roman" w:eastAsia="方正仿宋_GBK" w:cs="Times New Roman"/>
          <w:color w:val="000000" w:themeColor="text1"/>
          <w:sz w:val="32"/>
          <w:szCs w:val="32"/>
          <w14:textFill>
            <w14:solidFill>
              <w14:schemeClr w14:val="tx1"/>
            </w14:solidFill>
          </w14:textFill>
        </w:rPr>
        <w:t>地方海事</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船舶管理、船员管理等事务</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性</w:t>
      </w:r>
      <w:r>
        <w:rPr>
          <w:rFonts w:hint="default" w:ascii="Times New Roman" w:hAnsi="Times New Roman" w:eastAsia="方正仿宋_GBK" w:cs="Times New Roman"/>
          <w:color w:val="000000" w:themeColor="text1"/>
          <w:sz w:val="32"/>
          <w:szCs w:val="32"/>
          <w14:textFill>
            <w14:solidFill>
              <w14:schemeClr w14:val="tx1"/>
            </w14:solidFill>
          </w14:textFill>
        </w:rPr>
        <w:t>工作</w:t>
      </w: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实现对船舶、船员的管理，规范水上交通行业管理，使人民群众满意度提高。</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基本公共服务水平和水上交通水平较202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年社会公众满意度年度指标全年完成值9</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对</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船舶、船员的管理</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有效</w:t>
      </w:r>
      <w:r>
        <w:rPr>
          <w:rFonts w:hint="default" w:ascii="Times New Roman" w:hAnsi="Times New Roman" w:eastAsia="方正仿宋_GBK" w:cs="Times New Roman"/>
          <w:color w:val="000000" w:themeColor="text1"/>
          <w:sz w:val="32"/>
          <w:szCs w:val="32"/>
          <w14:textFill>
            <w14:solidFill>
              <w14:schemeClr w14:val="tx1"/>
            </w14:solidFill>
          </w14:textFill>
        </w:rPr>
        <w:t>提高</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了</w:t>
      </w:r>
      <w:r>
        <w:rPr>
          <w:rFonts w:hint="default" w:ascii="Times New Roman" w:hAnsi="Times New Roman" w:eastAsia="方正仿宋_GBK" w:cs="Times New Roman"/>
          <w:color w:val="000000" w:themeColor="text1"/>
          <w:sz w:val="32"/>
          <w:szCs w:val="32"/>
          <w14:textFill>
            <w14:solidFill>
              <w14:schemeClr w14:val="tx1"/>
            </w14:solidFill>
          </w14:textFill>
        </w:rPr>
        <w:t>群众</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水上出行</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舒适感</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得到群众一致好评</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numPr>
          <w:ilvl w:val="0"/>
          <w:numId w:val="1"/>
        </w:numPr>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BB07F"/>
    <w:multiLevelType w:val="singleLevel"/>
    <w:tmpl w:val="FF2BB07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B394117"/>
    <w:rsid w:val="11804638"/>
    <w:rsid w:val="15765622"/>
    <w:rsid w:val="19017270"/>
    <w:rsid w:val="1ED775EF"/>
    <w:rsid w:val="220B0E28"/>
    <w:rsid w:val="267A41FB"/>
    <w:rsid w:val="2C665580"/>
    <w:rsid w:val="307D52A7"/>
    <w:rsid w:val="39E31E00"/>
    <w:rsid w:val="3D8037A1"/>
    <w:rsid w:val="4173673A"/>
    <w:rsid w:val="41746BF2"/>
    <w:rsid w:val="48325EFC"/>
    <w:rsid w:val="54661048"/>
    <w:rsid w:val="54DD5033"/>
    <w:rsid w:val="55531449"/>
    <w:rsid w:val="557750B1"/>
    <w:rsid w:val="60E34D31"/>
    <w:rsid w:val="64C35D5A"/>
    <w:rsid w:val="64E82F7B"/>
    <w:rsid w:val="66313355"/>
    <w:rsid w:val="66C67C98"/>
    <w:rsid w:val="66D3797B"/>
    <w:rsid w:val="69190839"/>
    <w:rsid w:val="6AC5742E"/>
    <w:rsid w:val="6DCD4D26"/>
    <w:rsid w:val="6DD4644C"/>
    <w:rsid w:val="6E6D56B0"/>
    <w:rsid w:val="6E7D2816"/>
    <w:rsid w:val="79337E5D"/>
    <w:rsid w:val="799D263F"/>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3</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2024-06-24T03:43:00Z</cp:lastPrinted>
  <dcterms:modified xsi:type="dcterms:W3CDTF">2024-06-25T06:40:12Z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