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94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4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5"/>
          <w:sz w:val="44"/>
          <w:szCs w:val="44"/>
        </w:rPr>
        <w:t>忠县农业农村委员会</w:t>
      </w:r>
    </w:p>
    <w:p>
      <w:pPr>
        <w:pStyle w:val="4"/>
        <w:spacing w:before="0" w:beforeAutospacing="0" w:after="0" w:afterAutospacing="0" w:line="594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关于印发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忠县标准化池塘长吻鮠养殖</w:t>
      </w:r>
    </w:p>
    <w:p>
      <w:pPr>
        <w:pStyle w:val="4"/>
        <w:spacing w:before="0" w:beforeAutospacing="0" w:after="0" w:afterAutospacing="0" w:line="594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示范项目申报指南的通知</w:t>
      </w:r>
    </w:p>
    <w:p>
      <w:pPr>
        <w:pStyle w:val="4"/>
        <w:spacing w:before="0" w:beforeAutospacing="0" w:after="0" w:afterAutospacing="0"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594" w:lineRule="exac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各乡镇人民政府、街道办事处：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根据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渝财农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〔20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下达给我县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2021年中央渔业发展补助资金用于池塘标准化改造的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有关要求，现将2021年忠县标准化池塘长吻鮠养殖示范项目申报指南印发给你们。请各乡镇（街道）按申报指南要求，结合本地农业产业发展实际，于20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日前组织符合条件的农业企业、农民合作社、家庭农场和专业大户等新型经营主体积极申报。</w:t>
      </w:r>
    </w:p>
    <w:p>
      <w:pPr>
        <w:widowControl/>
        <w:spacing w:line="594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特此通知。</w:t>
      </w:r>
    </w:p>
    <w:p>
      <w:pPr>
        <w:pStyle w:val="4"/>
        <w:spacing w:before="0" w:beforeAutospacing="0" w:after="0" w:afterAutospacing="0" w:line="594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spacing w:line="594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附件：1、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2021年忠县标准化池塘长吻鮠养殖示范项目申报指南</w:t>
      </w:r>
    </w:p>
    <w:p>
      <w:pPr>
        <w:numPr>
          <w:ilvl w:val="0"/>
          <w:numId w:val="0"/>
        </w:numPr>
        <w:spacing w:line="594" w:lineRule="exact"/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2、2021年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项目实施方案样表</w:t>
      </w:r>
    </w:p>
    <w:p>
      <w:pPr>
        <w:spacing w:line="594" w:lineRule="exact"/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年忠县渔业养殖项目建设投资概算参考标准</w:t>
      </w:r>
    </w:p>
    <w:p>
      <w:pPr>
        <w:spacing w:line="594" w:lineRule="exac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 xml:space="preserve">      4、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年渔业项目现场评审专家评分表</w:t>
      </w:r>
    </w:p>
    <w:p>
      <w:pPr>
        <w:spacing w:line="594" w:lineRule="exac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  5、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年渔业项目资料评审专家评分表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br w:type="page"/>
      </w:r>
    </w:p>
    <w:p>
      <w:pPr>
        <w:spacing w:line="594" w:lineRule="exact"/>
        <w:jc w:val="both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附件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1</w:t>
      </w:r>
    </w:p>
    <w:p>
      <w:pPr>
        <w:spacing w:line="594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忠县标准化池塘长吻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  <w:t>鮠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养殖示范项目</w:t>
      </w:r>
    </w:p>
    <w:p>
      <w:pPr>
        <w:spacing w:line="594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申报指南</w:t>
      </w:r>
    </w:p>
    <w:p>
      <w:pPr>
        <w:spacing w:line="594" w:lineRule="exact"/>
        <w:rPr>
          <w:sz w:val="32"/>
          <w:szCs w:val="32"/>
        </w:rPr>
      </w:pPr>
    </w:p>
    <w:p>
      <w:pPr>
        <w:spacing w:line="594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一、指导思想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按照重庆市农委要求，结合我县实际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，为了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调整养殖结构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，大力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发展名优鱼养殖，扶持有一定规模、生产技术基础好，并在增加产量和提高质量上有示范带动作用的水产品养殖基地。开展养殖机械设备升级，完善进排水、水净化和废水处理设施设备等生态标准化养殖，加强质量管理和品牌建设，提高养殖综合生产能力。为我县名优鱼养殖做出应有贡献。</w:t>
      </w:r>
    </w:p>
    <w:p>
      <w:pPr>
        <w:spacing w:line="594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二、申报对象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在忠县行政区域内从事水产养殖的农业企业、农业合作社、家庭农场或专业大户等新型农业经营主体。</w:t>
      </w:r>
    </w:p>
    <w:p>
      <w:pPr>
        <w:spacing w:line="594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三、申报条件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（一）农业企业、农业合作社、家庭农场须取得工商营业执照，水产养殖大户所在村应岀据相关证明。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（二）申报对象对申报项目的建设基地应持有合法的经营资格,即应具备自有或承包经营合同。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（三）申报单位应具备“三项记录”(养殖生产过程或水产品产地、药品采购使用和产品销售)为重点的质量安全管理能力。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（四）标准化池塘长吻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养殖示范项目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，基地标准化池塘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养殖面积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20亩以上，养殖场必须聘有专业技术管理人员。</w:t>
      </w:r>
    </w:p>
    <w:p>
      <w:pPr>
        <w:spacing w:line="594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四、申报项目</w:t>
      </w:r>
    </w:p>
    <w:p>
      <w:pPr>
        <w:spacing w:line="594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（一）项目类别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标准化池塘长吻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养殖示范项目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spacing w:line="594" w:lineRule="exact"/>
        <w:ind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（二）建设内容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重点支持养殖机械设备升级，完善进排水、水净化和废水处理设施设备，产品质量监控，水质监测、疫病防控、节能减排和质量检测装备，改良水产养殖(优、特)品种引进等环节。</w:t>
      </w:r>
    </w:p>
    <w:p>
      <w:pPr>
        <w:spacing w:line="594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（三）补助标准</w:t>
      </w:r>
    </w:p>
    <w:p>
      <w:pPr>
        <w:spacing w:line="594" w:lineRule="exact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标准化池塘长吻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养殖示范项目补助资金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10万元。</w:t>
      </w:r>
    </w:p>
    <w:p>
      <w:pPr>
        <w:spacing w:line="594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（四）补助项目确定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根据项目现场评审得分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60%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加上专家评审得分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40%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）的总和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进行排名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，排名第一的拟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定为本次示范基地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，报农委主任办公会审定后确定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spacing w:line="594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（五）财政支持环节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财政补助资金主要支持基础设施建设改造，养殖机械设备升级，水净化和废水处理设施设备，产品质量监控，水质监测、疫病防控、节能减排和质量检测装备，水产养殖（优、特）品种引进等环节。</w:t>
      </w:r>
    </w:p>
    <w:p>
      <w:pPr>
        <w:spacing w:line="594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（六）建设期限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项目建设期为20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月-20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月。批复下达后按时按质按量完成建设任务。</w:t>
      </w:r>
    </w:p>
    <w:p>
      <w:pPr>
        <w:spacing w:line="594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五、申报程序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（一）通过忠县人民政府网向社会公开项目申报指南。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（二）项目业主按照申报指南要求，独立编制项目实施方案，附相关佐证材料复印件。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（三）项目实施方案经所在地乡镇政府（街道办事处）审核签署意见后，于20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时前上报县农委农技推广中心水产科。项目申报材料纸质件一式贰份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，电子件发送至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电子邮箱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QQ: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742412254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逾期上报或申报材料不全的，不予受理。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（四）各农业企业、农业合作社、水产家庭农场、水产养殖大户在前两年内获得过财政补助的这次不能申报。</w:t>
      </w:r>
    </w:p>
    <w:p>
      <w:pPr>
        <w:spacing w:line="594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六、有关要求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（一）项目实施方案由项目申报单位自行编制，不得代编代报，项目申报单位对项目资料的真实性、准确性负责。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（二）项目申报单位要按照规定的项目实施方案格式编报实施方案，不得随意删改、增减项目实施方案格式内容。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（三）严禁同一项目多头申报，弄虚作假，一经发现，取消项目申报资格。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（四）各申报单位或大户需提交以下资料：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1、申报企业(三证合一)营业执照（复印件盖公章），水产养殖大户村、乡镇（街道）证明及身份证复印件；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2、土地流转合法合同或水面承包合法合同（复印件盖公章）；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3、养殖基地的影像资料，至少提供3张；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4、养殖基地现场规划草图。</w:t>
      </w:r>
    </w:p>
    <w:p>
      <w:pPr>
        <w:spacing w:line="594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通讯地址：忠县忠州街道果园路3号</w:t>
      </w:r>
    </w:p>
    <w:p>
      <w:pPr>
        <w:spacing w:line="594" w:lineRule="exact"/>
        <w:ind w:firstLine="800" w:firstLineChars="25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邮政编码：404300</w:t>
      </w:r>
    </w:p>
    <w:p>
      <w:pPr>
        <w:spacing w:line="594" w:lineRule="exact"/>
        <w:ind w:firstLine="800" w:firstLineChars="25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联 系 人：县农委农技推广中心水产科    张皓迪 </w:t>
      </w:r>
    </w:p>
    <w:p>
      <w:pPr>
        <w:spacing w:line="594" w:lineRule="exact"/>
        <w:ind w:firstLine="800" w:firstLineChars="25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13452586370</w:t>
      </w:r>
    </w:p>
    <w:p>
      <w:pPr>
        <w:spacing w:line="594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94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spacing w:line="600" w:lineRule="exact"/>
        <w:rPr>
          <w:rFonts w:hint="default" w:asciiTheme="minorEastAsia" w:hAnsiTheme="minorEastAsia" w:eastAsiaTheme="minorEastAsia" w:cstheme="minorEastAsia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>2</w:t>
      </w:r>
    </w:p>
    <w:p>
      <w:pPr>
        <w:spacing w:line="600" w:lineRule="exact"/>
        <w:ind w:firstLine="5600" w:firstLineChars="175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行（产）业分类：________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sz w:val="44"/>
        </w:rPr>
        <w:t>年＿＿＿＿项目实施方案</w:t>
      </w:r>
    </w:p>
    <w:p>
      <w:pPr>
        <w:rPr>
          <w:rFonts w:hint="eastAsia" w:asciiTheme="minorEastAsia" w:hAnsiTheme="minorEastAsia" w:eastAsiaTheme="minorEastAsia" w:cstheme="minorEastAsia"/>
          <w:sz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项目名称：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实施单位：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通讯地址：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邮政编码：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主管部门：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填制日期：</w:t>
      </w:r>
    </w:p>
    <w:p>
      <w:pPr>
        <w:spacing w:line="420" w:lineRule="auto"/>
        <w:jc w:val="center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spacing w:line="420" w:lineRule="auto"/>
        <w:jc w:val="center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spacing w:line="420" w:lineRule="auto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忠县农业农村委员会 制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 xml:space="preserve"> 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一、项目所涉产业发展现状（或工作开展情况）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（上年度实施此项目单位应简单总结项目实施情况）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二、项目任务计划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（一）项目任务来由（背景）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（二）建设地点及规模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（三）项目内容（分项具体说明，既要有定性表述，又要有定量数据）</w:t>
      </w:r>
    </w:p>
    <w:p>
      <w:pPr>
        <w:spacing w:line="520" w:lineRule="exact"/>
        <w:ind w:firstLine="57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（四）建设进度</w:t>
      </w:r>
    </w:p>
    <w:p>
      <w:pPr>
        <w:spacing w:line="520" w:lineRule="exact"/>
        <w:ind w:firstLine="57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（五）项目推进及管理措施</w:t>
      </w:r>
    </w:p>
    <w:p>
      <w:pPr>
        <w:spacing w:line="520" w:lineRule="exact"/>
        <w:ind w:firstLine="57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（六）项目绩效目标（含项目带动能力，直接经济、社会、生态效益等）</w:t>
      </w:r>
    </w:p>
    <w:p>
      <w:pPr>
        <w:spacing w:line="520" w:lineRule="exact"/>
        <w:ind w:firstLine="57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（七）其它</w:t>
      </w:r>
    </w:p>
    <w:p>
      <w:pPr>
        <w:spacing w:line="520" w:lineRule="exact"/>
        <w:ind w:firstLine="57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三、资金投入概算</w:t>
      </w:r>
    </w:p>
    <w:p>
      <w:pPr>
        <w:spacing w:line="520" w:lineRule="exact"/>
        <w:ind w:firstLine="57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（一）项目总投资及资金来源</w:t>
      </w:r>
    </w:p>
    <w:p>
      <w:pPr>
        <w:spacing w:line="520" w:lineRule="exact"/>
        <w:ind w:firstLine="57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（二）资金具体用途和投资标准</w:t>
      </w:r>
    </w:p>
    <w:p>
      <w:pPr>
        <w:spacing w:line="520" w:lineRule="exact"/>
        <w:ind w:firstLine="57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（三）申请市级项目资金及资金使用环节（要具体说明财政资金使用支持环节、补助标准和额度等）</w:t>
      </w:r>
    </w:p>
    <w:p>
      <w:pPr>
        <w:spacing w:line="520" w:lineRule="exact"/>
        <w:ind w:firstLine="57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（四）其它</w:t>
      </w:r>
    </w:p>
    <w:p>
      <w:pPr>
        <w:spacing w:line="52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四、组织保障措施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五、项目实施单位情况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（一）单位性质、隶属关系、职能（业务）范围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（二）财务收支和资产状况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（三）有无不良记录（财政部门及审计机关处理处罚决定、行业通报批评、媒体曝光等）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（四）申报实施该项目现有条件（包括自筹资金的筹措方案）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六、相关单位情况及参与事项</w:t>
      </w:r>
    </w:p>
    <w:p>
      <w:pPr>
        <w:spacing w:line="594" w:lineRule="exact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</w:rPr>
        <w:t>表一：</w:t>
      </w:r>
    </w:p>
    <w:p>
      <w:pPr>
        <w:ind w:firstLine="72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</w:rPr>
      </w:pPr>
    </w:p>
    <w:tbl>
      <w:tblPr>
        <w:tblStyle w:val="7"/>
        <w:tblW w:w="9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35"/>
        <w:gridCol w:w="735"/>
        <w:gridCol w:w="2163"/>
        <w:gridCol w:w="1620"/>
        <w:gridCol w:w="179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年龄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工作单位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职务/职称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1247" w:gutter="0"/>
          <w:pgNumType w:fmt="numberInDash"/>
          <w:cols w:space="720" w:num="1"/>
          <w:docGrid w:linePitch="579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表二：             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28"/>
        </w:rPr>
        <w:t>项目申报意见表</w:t>
      </w:r>
    </w:p>
    <w:tbl>
      <w:tblPr>
        <w:tblStyle w:val="7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2"/>
              </w:rPr>
              <w:t>意　　见</w:t>
            </w:r>
          </w:p>
        </w:tc>
        <w:tc>
          <w:tcPr>
            <w:tcW w:w="7560" w:type="dxa"/>
            <w:vAlign w:val="center"/>
          </w:tcPr>
          <w:p>
            <w:pPr>
              <w:ind w:firstLine="63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　负责人签名： 　　       （单位公章）</w:t>
            </w:r>
          </w:p>
          <w:p>
            <w:pPr>
              <w:ind w:firstLine="63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　　　　　　　　　　　　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乡镇政府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街道意见</w:t>
            </w:r>
          </w:p>
        </w:tc>
        <w:tc>
          <w:tcPr>
            <w:tcW w:w="7560" w:type="dxa"/>
            <w:vAlign w:val="center"/>
          </w:tcPr>
          <w:p>
            <w:pPr>
              <w:ind w:firstLine="930" w:firstLineChars="31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ind w:firstLine="930" w:firstLineChars="31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ind w:firstLine="930" w:firstLineChars="31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负责人签名： 　　       （单位公章）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　　　　　　　　　　　　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2"/>
              </w:rPr>
              <w:t>区县主管部门意见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</w:p>
          <w:p>
            <w:pPr>
              <w:ind w:firstLine="1050" w:firstLineChars="35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负责人签名：   　       （单位公章）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　　　　　　　　　　　 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</w:p>
          <w:p>
            <w:pPr>
              <w:ind w:firstLine="1200" w:firstLineChars="4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负责人签名：   　      （单位公章）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　　　　　　　　　　　　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2"/>
              </w:rPr>
              <w:t>备　　注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2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spacing w:line="520" w:lineRule="exact"/>
        <w:jc w:val="both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20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年忠县渔业养殖项目建设投资概算参考标准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tbl>
      <w:tblPr>
        <w:tblStyle w:val="7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61"/>
        <w:gridCol w:w="4073"/>
        <w:gridCol w:w="697"/>
        <w:gridCol w:w="163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1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项目名称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建设标准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计算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概算标准（元）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新建鱼池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使用推土机、挖机等工具新建土坎鱼池，含筑堤、推土、挖排水沟及进排水设施设备等。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亩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3000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鱼池护坡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混凝土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护坡，坎底座30×30㎝C20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混凝土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，护坡厚10㎝C20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混凝土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3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7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土工布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根据土工布品牌质量而定（30-50年）。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甲鱼防逃      墙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规格：高60×厚12㎝砖混结构防逃设施。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m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6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加热设备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锅炉等加热设备（能满足200-300平米鱼池）。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10000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温室大棚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主立柱均为直径60毫米热镀锌园管材，壁厚2.5毫米，拱杆、拉杆为直径25毫米及以上热镀锌管材，壁厚1.5毫米，棚膜为15丝进口无滴膜。压膜槽厚0.7毫米，配套设计鱼池、管道、顶窗、侧窗、电动卷膜和风机。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进排水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管网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管道直径110毫米的PE管。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m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1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机动渔船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钢质机动渔船，船长7-9米，能载1-2吨货物，含柴油机、挂机等。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艘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12000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涌浪增氧机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220V、380V1.5千瓦涌浪式增氧机。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4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微孔增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氧机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220V、380V微孔增氧成套设施设备。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千瓦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5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抽水机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220V、380V抽水机1.5千瓦以下，含水管等。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自动增氧控制器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联接增氧机用自动溶氧控制器成套设备。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13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自动增氧控制器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联接手机用自动增氧控制器成套设备。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9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14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水质分析仪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养殖池塘水质分析仪器。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15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安全监控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用于养殖基地监控水产品质量安全设备（含红外线球机、监控器、线路等能监控养殖面积50-100亩）。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10000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6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16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安全监控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用于养殖基地监控水产品质量安全设备（含红外线球机、监控器、线路等能监控养殖面积120亩以上）。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15000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0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17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发电机组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组合柴油发电机组成套设备（10-30干瓦）。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千瓦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18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鱼菜共生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用于鱼菜共生养殖模式种菜浮架等成套设施设备。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vertAlign w:val="superscript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19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深水井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用于鱼种、成鱼夏季运输保成活率深水井（50m以上含水泵、套管）。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m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4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内循环微流水槽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用于内循环微流水养殖槽建设,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每条槽面积不低于120平方米，含所有配套设施设备。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100000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21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稻田综合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种  养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稻虾、稻蟹、甲鱼等共生种养模式，用于基础设施、防逃设施建设、设备购置等设施设备每亩不超过3000元。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亩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3000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22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稻田综合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种  养</w:t>
            </w:r>
          </w:p>
        </w:tc>
        <w:tc>
          <w:tcPr>
            <w:tcW w:w="40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稻鱼、稻鳅等共生种养模式，用于稻鱼共生基础设施建设、设备购置等设施每亩不超过2000元。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亩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2000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注：在水产养殖建设项目中，基础设施设备建设凡上面没有的，按县财政农业项目标准或实际投资市场价格进行计算，然后确定补助标准。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520" w:lineRule="exac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年渔业项目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现场评审专家评分表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  <w:u w:val="single"/>
        </w:rPr>
      </w:pP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评审日期：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   月    日</w:t>
      </w:r>
    </w:p>
    <w:tbl>
      <w:tblPr>
        <w:tblStyle w:val="7"/>
        <w:tblW w:w="952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5231"/>
        <w:gridCol w:w="959"/>
        <w:gridCol w:w="959"/>
        <w:gridCol w:w="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21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评审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5231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评审评分标准</w:t>
            </w:r>
          </w:p>
        </w:tc>
        <w:tc>
          <w:tcPr>
            <w:tcW w:w="959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评审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959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评审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959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地 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条 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（30分）</w:t>
            </w:r>
          </w:p>
        </w:tc>
        <w:tc>
          <w:tcPr>
            <w:tcW w:w="5231" w:type="dxa"/>
          </w:tcPr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养殖基地水源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、光照、交通基础条件好的评15分，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不好的根据具体情况扣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1-6分。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15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5231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养殖基地在县渔业规划范围内并地质安全性好的评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15分，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不在规划范围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地质安全性不好的根据实际情况扣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1-6分。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15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基 础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设 施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条 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（40分）</w:t>
            </w:r>
          </w:p>
        </w:tc>
        <w:tc>
          <w:tcPr>
            <w:tcW w:w="5231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现场规划科学、合理、整体性、配套齐全和电力条件好的评15分，不好的根据实际情况扣1-6分。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15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5231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养殖基地基础设施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生产设施安全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养殖池塘进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、排水独立性好的评13分，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不好的根据实际情况扣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1-5分。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13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5231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养殖规模、养殖方式、养殖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等条件好的评12分，不好的根据实际情况扣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1-5分。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12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其 它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（30分）</w:t>
            </w:r>
          </w:p>
        </w:tc>
        <w:tc>
          <w:tcPr>
            <w:tcW w:w="5231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土地流转、池塘承包合同手续完善齐全合法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不拖欠民工工资和承包租金的评7分，不合法的不得分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另外根据实际情况进行扣分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。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7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5231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水产品质量、生态、环保安全进行综合评分，达到标准的评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8分，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未达到标准的根据情况扣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1-4分。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8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5231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项目补助金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万元以上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结合股权化改革的评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8分，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不结合的不得分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未达补助标准的可根据实际情况进行评分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。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8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5231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养殖户的养殖能力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养殖技术水平和有没有养殖三项记录进行评分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好的评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7分，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不好的根据情况扣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1-4分。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7</w:t>
            </w: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合计评审分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100</w:t>
            </w:r>
          </w:p>
        </w:tc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529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 评审人员签字：</w:t>
            </w:r>
          </w:p>
        </w:tc>
      </w:tr>
    </w:tbl>
    <w:p>
      <w:pPr>
        <w:spacing w:line="520" w:lineRule="exac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</w:p>
    <w:p>
      <w:pPr>
        <w:rPr>
          <w:rFonts w:hint="eastAsia" w:asciiTheme="minorEastAsia" w:hAnsiTheme="minorEastAsia" w:eastAsiaTheme="minorEastAsia" w:cstheme="minorEastAsia"/>
          <w:szCs w:val="32"/>
        </w:rPr>
      </w:pP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年渔业项目资料评审专家评分表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项目名称：                          评审日期：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   月   日</w:t>
      </w:r>
    </w:p>
    <w:tbl>
      <w:tblPr>
        <w:tblStyle w:val="7"/>
        <w:tblW w:w="963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628"/>
        <w:gridCol w:w="915"/>
        <w:gridCol w:w="888"/>
        <w:gridCol w:w="8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10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评 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内 容</w:t>
            </w:r>
          </w:p>
        </w:tc>
        <w:tc>
          <w:tcPr>
            <w:tcW w:w="5628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评审评分标准</w:t>
            </w:r>
          </w:p>
        </w:tc>
        <w:tc>
          <w:tcPr>
            <w:tcW w:w="91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评审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88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评审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894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  <w:t>主体条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  <w:t>件评审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</w:rPr>
              <w:t>（20分）</w:t>
            </w:r>
          </w:p>
        </w:tc>
        <w:tc>
          <w:tcPr>
            <w:tcW w:w="562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项目申报业主或大户符合申报主体条件要求的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lang w:val="zh-CN"/>
              </w:rPr>
              <w:t>，评10分，不符合的不得分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2"/>
                <w:sz w:val="24"/>
                <w:lang w:val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</w:rPr>
            </w:pPr>
          </w:p>
        </w:tc>
        <w:tc>
          <w:tcPr>
            <w:tcW w:w="562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申报材料真实具体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lang w:val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合理性强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lang w:val="zh-CN"/>
              </w:rPr>
              <w:t>、资料完善齐全，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符合申报指南要求的评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lang w:val="zh-CN"/>
              </w:rPr>
              <w:t>10分，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不合要求根据情况扣分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lang w:val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  <w:t>业 务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  <w:t>技 术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  <w:t>评 审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</w:rPr>
              <w:t>（45分）</w:t>
            </w:r>
          </w:p>
        </w:tc>
        <w:tc>
          <w:tcPr>
            <w:tcW w:w="562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养殖业主申报的养殖规模符合申报指南规模要求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  <w:lang w:val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方方案设计科学合理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，建设内容齐全、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完善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具体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养殖技术好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zh-CN"/>
              </w:rPr>
              <w:t>的评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  <w:lang w:val="zh-CN"/>
              </w:rPr>
              <w:t>15分，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不足的根据情况扣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  <w:lang w:val="zh-CN"/>
              </w:rPr>
              <w:t>1-6分。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15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562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建设方案设计合理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养殖设施设备数量与养殖规模相匹配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方案前后反映情况和数据吻合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无逻辑性错误并产业融合发展较好的评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15分，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不足的根据情况扣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1-6分。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15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562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方案建设内容除具有定性表述外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各项内容还要有定量表述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定量具体明确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分项数量化较好的评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10分，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建设数量不具体的扣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1-5分。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562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进度安排符合要求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进度安排时间表合理的评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5分，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不符合要求和时间安排不合理的扣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1-3分。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  <w:t>财 务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  <w:t>评 审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</w:rPr>
              <w:t>（25分）</w:t>
            </w:r>
          </w:p>
        </w:tc>
        <w:tc>
          <w:tcPr>
            <w:tcW w:w="562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投资概算总额符合申报指南要求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概算内容和数量与建设内容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数量相一致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概算单价与参考价一致的评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10分，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不合要求根据情况扣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1-5分。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562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申请补助资金额度在申报指南规定范围内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资金补助环节符合申报指南支持环节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资金补助有具体的内容与数量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有具体补助标准的评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8分，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不合标准的根据情况扣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1-4分。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8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562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建设业主信心强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lang w:val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自有资金充足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lang w:val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资金证明达到项目总投资金额的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lang w:val="zh-CN"/>
              </w:rPr>
              <w:t>）评7分，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不足的酌情扣分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lang w:val="zh-CN"/>
              </w:rPr>
              <w:t>。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7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  <w:t>社 会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8"/>
                <w:szCs w:val="28"/>
              </w:rPr>
              <w:t>责 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</w:rPr>
              <w:t>（10分）</w:t>
            </w:r>
          </w:p>
        </w:tc>
        <w:tc>
          <w:tcPr>
            <w:tcW w:w="562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项目建设对水产业发展有带动作用的评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5分，没有的根据实际情况进行扣分。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562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带动周边水产养殖户增收好的评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12"/>
                <w:sz w:val="24"/>
              </w:rPr>
              <w:t>，没有的根据实际情况进行扣分。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9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合计评审分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100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63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评审人员签字：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588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87"/>
    <w:rsid w:val="000160F6"/>
    <w:rsid w:val="000371B7"/>
    <w:rsid w:val="0005073C"/>
    <w:rsid w:val="000544B9"/>
    <w:rsid w:val="000C07B3"/>
    <w:rsid w:val="00124505"/>
    <w:rsid w:val="001321D1"/>
    <w:rsid w:val="001364F4"/>
    <w:rsid w:val="001D62C7"/>
    <w:rsid w:val="0023118F"/>
    <w:rsid w:val="00292CED"/>
    <w:rsid w:val="00293E0E"/>
    <w:rsid w:val="00300AB8"/>
    <w:rsid w:val="00360C18"/>
    <w:rsid w:val="00417A18"/>
    <w:rsid w:val="004466F0"/>
    <w:rsid w:val="00451BB3"/>
    <w:rsid w:val="005C5AE6"/>
    <w:rsid w:val="00613E34"/>
    <w:rsid w:val="00681E16"/>
    <w:rsid w:val="00744E25"/>
    <w:rsid w:val="007D2B9D"/>
    <w:rsid w:val="00823CA4"/>
    <w:rsid w:val="00834694"/>
    <w:rsid w:val="00855DC2"/>
    <w:rsid w:val="00866160"/>
    <w:rsid w:val="008D5073"/>
    <w:rsid w:val="009060D0"/>
    <w:rsid w:val="0092193D"/>
    <w:rsid w:val="009B5F7D"/>
    <w:rsid w:val="00A72907"/>
    <w:rsid w:val="00A8114B"/>
    <w:rsid w:val="00B34402"/>
    <w:rsid w:val="00B578CB"/>
    <w:rsid w:val="00B7436E"/>
    <w:rsid w:val="00BA0637"/>
    <w:rsid w:val="00BF03B6"/>
    <w:rsid w:val="00C93D7D"/>
    <w:rsid w:val="00CD6385"/>
    <w:rsid w:val="00D17D1B"/>
    <w:rsid w:val="00D34177"/>
    <w:rsid w:val="00D4237A"/>
    <w:rsid w:val="00D453F6"/>
    <w:rsid w:val="00DC6948"/>
    <w:rsid w:val="00E04C1D"/>
    <w:rsid w:val="00E54487"/>
    <w:rsid w:val="00E641D2"/>
    <w:rsid w:val="00E80CD8"/>
    <w:rsid w:val="00F01E2C"/>
    <w:rsid w:val="00F03E59"/>
    <w:rsid w:val="00F33D1A"/>
    <w:rsid w:val="00F374B1"/>
    <w:rsid w:val="00FE5203"/>
    <w:rsid w:val="00FF2C04"/>
    <w:rsid w:val="03D00F7D"/>
    <w:rsid w:val="04B91F33"/>
    <w:rsid w:val="073155CA"/>
    <w:rsid w:val="0CD94067"/>
    <w:rsid w:val="14CC12A6"/>
    <w:rsid w:val="1F48709B"/>
    <w:rsid w:val="21521F22"/>
    <w:rsid w:val="29330E52"/>
    <w:rsid w:val="303F2FA5"/>
    <w:rsid w:val="30C543A3"/>
    <w:rsid w:val="36DF3548"/>
    <w:rsid w:val="3F6A2500"/>
    <w:rsid w:val="40646093"/>
    <w:rsid w:val="49D94FEA"/>
    <w:rsid w:val="4E1515BA"/>
    <w:rsid w:val="4F9C4EE1"/>
    <w:rsid w:val="50F73792"/>
    <w:rsid w:val="58A007A7"/>
    <w:rsid w:val="68732A63"/>
    <w:rsid w:val="68F839EF"/>
    <w:rsid w:val="757E42CF"/>
    <w:rsid w:val="76CA7712"/>
    <w:rsid w:val="78D246B7"/>
    <w:rsid w:val="7AE4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89D31-893E-47FA-BED3-3CA2D01BB7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15</Pages>
  <Words>1225</Words>
  <Characters>6987</Characters>
  <Lines>58</Lines>
  <Paragraphs>16</Paragraphs>
  <ScaleCrop>false</ScaleCrop>
  <LinksUpToDate>false</LinksUpToDate>
  <CharactersWithSpaces>8196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2018-01-24T03:23:00Z</dcterms:created>
  <dc:creator>hp</dc:creator>
  <cp:lastModifiedBy>Administrator</cp:lastModifiedBy>
  <cp:lastPrinted>2021-10-11T01:45:00Z</cp:lastPrinted>
  <dcterms:modified xsi:type="dcterms:W3CDTF">2021-10-14T03:43:29Z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1F00BA17906E429B932EF0C87831D86D</vt:lpwstr>
  </property>
</Properties>
</file>