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K" w:cs="宋体"/>
          <w:sz w:val="20"/>
          <w:szCs w:val="20"/>
          <w:lang w:eastAsia="zh-CN"/>
        </w:rPr>
      </w:pPr>
      <w:r>
        <w:rPr>
          <w:rFonts w:hint="default" w:ascii="Times New Roman" w:hAnsi="Times New Roman" w:eastAsia="方正仿宋_GBK"/>
          <w:bCs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2</w:t>
      </w:r>
    </w:p>
    <w:p>
      <w:pPr>
        <w:rPr>
          <w:rFonts w:hint="default" w:cs="宋体"/>
          <w:sz w:val="20"/>
          <w:szCs w:val="20"/>
        </w:rPr>
      </w:pPr>
    </w:p>
    <w:tbl>
      <w:tblPr>
        <w:tblStyle w:val="2"/>
        <w:tblpPr w:leftFromText="180" w:rightFromText="180" w:vertAnchor="text" w:horzAnchor="page" w:tblpX="944" w:tblpY="759"/>
        <w:tblOverlap w:val="never"/>
        <w:tblW w:w="15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67"/>
        <w:gridCol w:w="2392"/>
        <w:gridCol w:w="1631"/>
        <w:gridCol w:w="1631"/>
        <w:gridCol w:w="1021"/>
        <w:gridCol w:w="1006"/>
        <w:gridCol w:w="1386"/>
        <w:gridCol w:w="1390"/>
        <w:gridCol w:w="993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520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5603" w:firstLineChars="1400"/>
              <w:jc w:val="both"/>
              <w:textAlignment w:val="center"/>
              <w:rPr>
                <w:rFonts w:hint="default" w:ascii="Times New Roman" w:hAnsi="Times New Roman" w:eastAsia="微软雅黑"/>
                <w:b/>
                <w:bCs/>
                <w:color w:val="80808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/>
                <w:b/>
                <w:bCs/>
                <w:color w:val="000000"/>
                <w:sz w:val="40"/>
                <w:szCs w:val="40"/>
              </w:rPr>
              <w:t>2023年整体绩效自评表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520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2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预算（单位）名称：</w:t>
            </w:r>
          </w:p>
        </w:tc>
        <w:tc>
          <w:tcPr>
            <w:tcW w:w="1045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403-忠县生态环境局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2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总体资金情况（元）</w:t>
            </w:r>
          </w:p>
        </w:tc>
        <w:tc>
          <w:tcPr>
            <w:tcW w:w="23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预算支出总额</w:t>
            </w:r>
          </w:p>
        </w:tc>
        <w:tc>
          <w:tcPr>
            <w:tcW w:w="528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463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2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财政拨款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专户资金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单位资金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财政拨款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专户资金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2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43496700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43496700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16673600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26823100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26823100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门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整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体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效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情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整体绩效目标</w:t>
            </w:r>
          </w:p>
        </w:tc>
        <w:tc>
          <w:tcPr>
            <w:tcW w:w="123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城区空气质量优良天数达320天以上，PM2.5年均浓度控制在40微克/立方米以下，长江苏家断面水质保持或优于Ⅲ类，渠溪河黄岭桥断面水质保持或优于Ⅲ类；汝溪河高洞梁断面水质保持或优于Ⅲ类。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微软雅黑"/>
                <w:b/>
                <w:bCs/>
                <w:color w:val="80808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/>
                <w:b/>
                <w:bCs/>
                <w:color w:val="808080"/>
                <w:sz w:val="18"/>
                <w:szCs w:val="18"/>
              </w:rPr>
              <w:t>年度绩效指标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4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三级指标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绩效指标性质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绩效指标值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绩效度量单位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权重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40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城区空气质量优良天数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汝溪河高洞梁断面水质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微克/立方米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立方米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长江苏家断面水质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生态效益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渠溪河黄岭桥断面水质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C3495"/>
    <w:rsid w:val="27893DAB"/>
    <w:rsid w:val="483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2024-10-22T08:33:00Z</dcterms:created>
  <dc:creator>Administrator</dc:creator>
  <cp:lastModifiedBy>Administrator</cp:lastModifiedBy>
  <dcterms:modified xsi:type="dcterms:W3CDTF">2024-10-22T08:35:28Z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01EF5A1D024C4A87880DA4CB3AB7AACB</vt:lpwstr>
  </property>
</Properties>
</file>