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snapToGrid w:val="0"/>
        <w:spacing w:line="240" w:lineRule="atLeast"/>
        <w:jc w:val="both"/>
        <w:rPr>
          <w:rFonts w:eastAsia="方正仿宋_GBK"/>
          <w:bCs/>
        </w:rPr>
      </w:pPr>
      <w:bookmarkStart w:id="0" w:name="文号"/>
    </w:p>
    <w:bookmarkEnd w:id="0"/>
    <w:p>
      <w:pPr>
        <w:jc w:val="center"/>
        <w:rPr>
          <w:rFonts w:eastAsia="方正小标宋简体"/>
          <w:color w:val="FF0000"/>
          <w:w w:val="50"/>
          <w:sz w:val="90"/>
          <w:szCs w:val="90"/>
        </w:rPr>
      </w:pPr>
      <w:bookmarkStart w:id="1" w:name="OLE_LINK1"/>
      <w:r>
        <w:rPr>
          <w:rFonts w:eastAsia="方正小标宋简体"/>
          <w:color w:val="FF0000"/>
          <w:w w:val="50"/>
          <w:sz w:val="90"/>
          <w:szCs w:val="90"/>
        </w:rPr>
        <w:t>重庆市建设项目环境影响评价文件批准书</w:t>
      </w:r>
    </w:p>
    <w:p>
      <w:pPr>
        <w:jc w:val="center"/>
      </w:pPr>
      <w:r>
        <w:rPr>
          <w:rFonts w:eastAsia="方正小标宋简体"/>
          <w:color w:val="FF0000"/>
          <w:sz w:val="90"/>
          <w:szCs w:val="90"/>
          <w:u w:val="single"/>
        </w:rPr>
        <w:pict>
          <v:line id="_x0000_s2055" o:spid="_x0000_s2055" o:spt="20" style="position:absolute;left:0pt;margin-top:-1.1pt;height:0pt;width:450.35pt;mso-position-horizontal:center;z-index:251663360;mso-width-relative:page;mso-height-relative:page;" filled="f" stroked="t" coordsize="21600,21600">
            <v:path arrowok="t"/>
            <v:fill on="f" focussize="0,0"/>
            <v:stroke weight="4.5pt" color="#FF0000" linestyle="thickThin"/>
            <v:imagedata o:title=""/>
            <o:lock v:ext="edit"/>
          </v:line>
        </w:pict>
      </w:r>
    </w:p>
    <w:p>
      <w:pPr>
        <w:pStyle w:val="3"/>
        <w:rPr>
          <w:rFonts w:hint="default" w:ascii="Times New Roman" w:hAnsi="Times New Roman" w:eastAsia="方正仿宋_GBK" w:cs="Times New Roman"/>
          <w:bCs/>
        </w:rPr>
      </w:pPr>
    </w:p>
    <w:p>
      <w:pPr>
        <w:pStyle w:val="7"/>
        <w:snapToGrid w:val="0"/>
        <w:spacing w:line="240" w:lineRule="atLeast"/>
        <w:jc w:val="center"/>
        <w:rPr>
          <w:rFonts w:hint="default" w:ascii="Times New Roman" w:hAnsi="Times New Roman" w:eastAsia="方正仿宋_GBK" w:cs="Times New Roman"/>
          <w:bCs/>
        </w:rPr>
      </w:pPr>
      <w:r>
        <w:rPr>
          <w:rFonts w:hint="default" w:ascii="Times New Roman" w:hAnsi="Times New Roman" w:eastAsia="方正仿宋_GBK" w:cs="Times New Roman"/>
          <w:bCs/>
        </w:rPr>
        <w:t>渝（忠）环准〔2024〕</w:t>
      </w:r>
      <w:r>
        <w:rPr>
          <w:rFonts w:hint="default" w:ascii="Times New Roman" w:hAnsi="Times New Roman" w:eastAsia="方正仿宋_GBK" w:cs="Times New Roman"/>
          <w:bCs/>
          <w:lang w:val="en-US" w:eastAsia="zh-CN"/>
        </w:rPr>
        <w:t>2</w:t>
      </w:r>
      <w:r>
        <w:rPr>
          <w:rFonts w:hint="eastAsia" w:ascii="Times New Roman" w:hAnsi="Times New Roman" w:eastAsia="方正仿宋_GBK" w:cs="Times New Roman"/>
          <w:bCs/>
          <w:lang w:val="en-US" w:eastAsia="zh-CN"/>
        </w:rPr>
        <w:t>7</w:t>
      </w:r>
      <w:r>
        <w:rPr>
          <w:rFonts w:hint="default" w:ascii="Times New Roman" w:hAnsi="Times New Roman" w:eastAsia="方正仿宋_GBK" w:cs="Times New Roman"/>
          <w:bCs/>
        </w:rPr>
        <w:t>号</w:t>
      </w:r>
    </w:p>
    <w:p>
      <w:pPr>
        <w:pStyle w:val="18"/>
        <w:spacing w:line="560" w:lineRule="exact"/>
        <w:rPr>
          <w:rFonts w:hint="default" w:ascii="Times New Roman" w:hAnsi="Times New Roman" w:eastAsia="方正仿宋_GBK" w:cs="Times New Roman"/>
          <w:bCs/>
          <w:sz w:val="32"/>
          <w:szCs w:val="32"/>
        </w:rPr>
      </w:pPr>
    </w:p>
    <w:bookmarkEnd w:id="1"/>
    <w:p>
      <w:pPr>
        <w:widowControl/>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中石化重庆涪陵页岩气勘探开发有限公司：</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rPr>
        <w:t>你单位报送的兴页L213勘探评价井组项目（项目代码：2406-500233-04-01-654488）</w:t>
      </w:r>
      <w:r>
        <w:rPr>
          <w:rFonts w:hint="default" w:ascii="Times New Roman" w:hAnsi="Times New Roman" w:eastAsia="方正仿宋_GBK" w:cs="Times New Roman"/>
          <w:bCs/>
          <w:sz w:val="32"/>
          <w:szCs w:val="32"/>
        </w:rPr>
        <w:t>环评文件及相关报批申请材料收悉，经审查，符合我市建设项目环境影响评价文件告知承诺审批的相关要求。根据重庆渝佳环境影响评价有限公司（统一社会信用代码：</w:t>
      </w:r>
      <w:r>
        <w:rPr>
          <w:rFonts w:hint="default" w:ascii="Times New Roman" w:hAnsi="Times New Roman" w:eastAsia="方正小标宋_GBK" w:cs="Times New Roman"/>
          <w:bCs/>
          <w:sz w:val="32"/>
          <w:szCs w:val="32"/>
        </w:rPr>
        <w:t>91500103778469571M</w:t>
      </w:r>
      <w:r>
        <w:rPr>
          <w:rFonts w:hint="default" w:ascii="Times New Roman" w:hAnsi="Times New Roman" w:eastAsia="方正仿宋_GBK" w:cs="Times New Roman"/>
          <w:bCs/>
          <w:sz w:val="32"/>
          <w:szCs w:val="32"/>
        </w:rPr>
        <w:t>）编制的《</w:t>
      </w:r>
      <w:r>
        <w:rPr>
          <w:rFonts w:hint="default" w:ascii="Times New Roman" w:hAnsi="Times New Roman" w:eastAsia="方正仿宋_GBK" w:cs="Times New Roman"/>
          <w:bCs/>
          <w:sz w:val="32"/>
        </w:rPr>
        <w:t>兴页L213勘探评价井组项目</w:t>
      </w:r>
      <w:r>
        <w:rPr>
          <w:rFonts w:hint="default" w:ascii="Times New Roman" w:hAnsi="Times New Roman" w:eastAsia="方正仿宋_GBK" w:cs="Times New Roman"/>
          <w:bCs/>
          <w:sz w:val="32"/>
          <w:szCs w:val="32"/>
        </w:rPr>
        <w:t>环境影响报告表》对该项目开展环境影响评价的结论，在全面落实报告表提出的各项防治生态影响和环境污染措施、防范环境风险措施和你单位承诺的前提下，工程建设对环境的不利影响能够得到缓解和控制。我局原则同意该项目环境影响报告表结论以及拟采取的环境保护措施。</w:t>
      </w:r>
    </w:p>
    <w:p>
      <w:pPr>
        <w:pStyle w:val="18"/>
        <w:spacing w:line="594" w:lineRule="exact"/>
        <w:ind w:firstLine="640" w:firstLineChars="200"/>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你单位应当严格落实该项目环境影响报告表提出的防治生态影响和环境污染措施及防范环境风险措施，严格执行配套建设的环保设施与主体工程同时设计、同时施工、同时投产的环保</w:t>
      </w:r>
      <w:r>
        <w:rPr>
          <w:rFonts w:hint="default" w:ascii="Times New Roman" w:hAnsi="Times New Roman" w:eastAsia="方正仿宋_GBK" w:cs="Times New Roman"/>
          <w:bCs/>
          <w:sz w:val="32"/>
          <w:szCs w:val="32"/>
          <w:lang w:eastAsia="zh-CN"/>
        </w:rPr>
        <w:t>“</w:t>
      </w:r>
      <w:r>
        <w:rPr>
          <w:rFonts w:hint="default" w:ascii="Times New Roman" w:hAnsi="Times New Roman" w:eastAsia="方正仿宋_GBK" w:cs="Times New Roman"/>
          <w:bCs/>
          <w:sz w:val="32"/>
          <w:szCs w:val="32"/>
        </w:rPr>
        <w:t>三同时</w:t>
      </w:r>
      <w:r>
        <w:rPr>
          <w:rFonts w:hint="default" w:ascii="Times New Roman" w:hAnsi="Times New Roman" w:eastAsia="方正仿宋_GBK" w:cs="Times New Roman"/>
          <w:bCs/>
          <w:sz w:val="32"/>
          <w:szCs w:val="32"/>
          <w:lang w:eastAsia="zh-CN"/>
        </w:rPr>
        <w:t>”</w:t>
      </w:r>
      <w:r>
        <w:rPr>
          <w:rFonts w:hint="default" w:ascii="Times New Roman" w:hAnsi="Times New Roman" w:eastAsia="方正仿宋_GBK" w:cs="Times New Roman"/>
          <w:bCs/>
          <w:sz w:val="32"/>
          <w:szCs w:val="32"/>
        </w:rPr>
        <w:t>制度。项目竣工后，应按照相关规定开展环境保护验收。经验收合格后，项目方可正式投入生产或使用。</w:t>
      </w:r>
    </w:p>
    <w:p>
      <w:pPr>
        <w:keepNext w:val="0"/>
        <w:keepLines w:val="0"/>
        <w:pageBreakBefore w:val="0"/>
        <w:kinsoku/>
        <w:wordWrap/>
        <w:overflowPunct/>
        <w:topLinePunct w:val="0"/>
        <w:autoSpaceDE/>
        <w:autoSpaceDN/>
        <w:bidi w:val="0"/>
        <w:adjustRightInd w:val="0"/>
        <w:snapToGrid w:val="0"/>
        <w:spacing w:line="594" w:lineRule="exact"/>
        <w:ind w:firstLine="640" w:firstLineChars="200"/>
        <w:textAlignment w:val="auto"/>
        <w:rPr>
          <w:rFonts w:hint="default" w:ascii="Times New Roman" w:hAnsi="Times New Roman" w:eastAsia="方正仿宋_GBK" w:cs="Times New Roman"/>
          <w:bCs/>
          <w:sz w:val="32"/>
          <w:szCs w:val="32"/>
        </w:rPr>
        <w:sectPr>
          <w:footerReference r:id="rId3" w:type="default"/>
          <w:pgSz w:w="11906" w:h="16838"/>
          <w:pgMar w:top="1984" w:right="1446" w:bottom="1644" w:left="1446" w:header="851" w:footer="992" w:gutter="0"/>
          <w:pgNumType w:fmt="numberInDash" w:start="2"/>
          <w:cols w:space="720" w:num="1"/>
          <w:docGrid w:type="lines" w:linePitch="312" w:charSpace="0"/>
        </w:sectPr>
      </w:pPr>
    </w:p>
    <w:p>
      <w:pPr>
        <w:spacing w:line="594" w:lineRule="exact"/>
        <w:ind w:firstLine="640" w:firstLineChars="200"/>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若项目的性质、规模、地点、采用的生产工艺或者防治污染措施发生重大变动的，你单位应当重新报批该项目的环境影响评价文件。项目的日常监督管理由忠县</w:t>
      </w:r>
      <w:r>
        <w:rPr>
          <w:rFonts w:hint="default" w:ascii="Times New Roman" w:hAnsi="Times New Roman" w:eastAsia="方正仿宋_GBK" w:cs="Times New Roman"/>
          <w:bCs/>
          <w:sz w:val="32"/>
          <w:szCs w:val="32"/>
          <w:lang w:eastAsia="zh-CN"/>
        </w:rPr>
        <w:t>马灌镇</w:t>
      </w:r>
      <w:r>
        <w:rPr>
          <w:rFonts w:hint="default" w:ascii="Times New Roman" w:hAnsi="Times New Roman" w:eastAsia="方正仿宋_GBK" w:cs="Times New Roman"/>
          <w:bCs/>
          <w:sz w:val="32"/>
          <w:szCs w:val="32"/>
        </w:rPr>
        <w:t>人民政府和忠县生态环境保护综合行政执法支队按照有关职责实施。</w:t>
      </w:r>
    </w:p>
    <w:p>
      <w:pPr>
        <w:spacing w:line="594" w:lineRule="exact"/>
        <w:ind w:firstLine="640" w:firstLineChars="200"/>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此批准书生效时间为公示期满之日起自行生效（受理和拟审批决定同步接续公示，共计十个工作日）。生态环境行政主管部门如发现存在不符合告知承诺制情形、环评文件存在重大质量问题的或其他不能审批的情形，依法撤销审批决定，造成的一切法律后果和经济损失均由你单位承担。</w:t>
      </w:r>
    </w:p>
    <w:p>
      <w:pPr>
        <w:rPr>
          <w:rFonts w:hint="default" w:ascii="Times New Roman" w:hAnsi="Times New Roman" w:eastAsia="方正仿宋_GBK" w:cs="Times New Roman"/>
          <w:bCs/>
          <w:sz w:val="32"/>
          <w:szCs w:val="32"/>
        </w:rPr>
      </w:pPr>
    </w:p>
    <w:p>
      <w:pPr>
        <w:rPr>
          <w:rFonts w:hint="default" w:ascii="Times New Roman" w:hAnsi="Times New Roman" w:eastAsia="方正仿宋_GBK" w:cs="Times New Roman"/>
          <w:bCs/>
          <w:sz w:val="32"/>
          <w:szCs w:val="32"/>
        </w:rPr>
      </w:pPr>
    </w:p>
    <w:p>
      <w:pPr>
        <w:pStyle w:val="2"/>
        <w:rPr>
          <w:rFonts w:hint="default" w:ascii="Times New Roman" w:hAnsi="Times New Roman" w:cs="Times New Roman"/>
        </w:rPr>
      </w:pPr>
    </w:p>
    <w:p>
      <w:pPr>
        <w:ind w:right="840" w:rightChars="400"/>
        <w:jc w:val="right"/>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忠县生态环境局（盖章）</w:t>
      </w:r>
    </w:p>
    <w:p>
      <w:pPr>
        <w:ind w:right="1470" w:rightChars="700"/>
        <w:jc w:val="right"/>
        <w:rPr>
          <w:rFonts w:hint="default" w:ascii="Times New Roman" w:hAnsi="Times New Roman" w:eastAsia="方正仿宋_GBK" w:cs="Times New Roman"/>
          <w:bCs/>
          <w:sz w:val="32"/>
          <w:szCs w:val="32"/>
        </w:rPr>
      </w:pPr>
      <w:r>
        <w:rPr>
          <w:rFonts w:hint="default" w:ascii="Times New Roman" w:hAnsi="Times New Roman" w:eastAsia="方正仿宋_GBK" w:cs="Times New Roman"/>
          <w:bCs/>
          <w:sz w:val="32"/>
          <w:szCs w:val="32"/>
        </w:rPr>
        <w:t>2024年</w:t>
      </w:r>
      <w:r>
        <w:rPr>
          <w:rFonts w:hint="default" w:ascii="Times New Roman" w:hAnsi="Times New Roman" w:eastAsia="方正仿宋_GBK" w:cs="Times New Roman"/>
          <w:bCs/>
          <w:sz w:val="32"/>
          <w:szCs w:val="32"/>
          <w:lang w:val="en-US" w:eastAsia="zh-CN"/>
        </w:rPr>
        <w:t>9</w:t>
      </w:r>
      <w:r>
        <w:rPr>
          <w:rFonts w:hint="default" w:ascii="Times New Roman" w:hAnsi="Times New Roman" w:eastAsia="方正仿宋_GBK" w:cs="Times New Roman"/>
          <w:bCs/>
          <w:sz w:val="32"/>
          <w:szCs w:val="32"/>
        </w:rPr>
        <w:t>月</w:t>
      </w:r>
      <w:r>
        <w:rPr>
          <w:rFonts w:hint="default" w:ascii="Times New Roman" w:hAnsi="Times New Roman" w:eastAsia="方正仿宋_GBK" w:cs="Times New Roman"/>
          <w:bCs/>
          <w:sz w:val="32"/>
          <w:szCs w:val="32"/>
          <w:lang w:val="en-US" w:eastAsia="zh-CN"/>
        </w:rPr>
        <w:t>4</w:t>
      </w:r>
      <w:r>
        <w:rPr>
          <w:rFonts w:hint="default" w:ascii="Times New Roman" w:hAnsi="Times New Roman" w:eastAsia="方正仿宋_GBK" w:cs="Times New Roman"/>
          <w:bCs/>
          <w:sz w:val="32"/>
          <w:szCs w:val="32"/>
        </w:rPr>
        <w:t xml:space="preserve">日 </w:t>
      </w:r>
    </w:p>
    <w:p>
      <w:pPr>
        <w:pStyle w:val="2"/>
        <w:rPr>
          <w:rFonts w:hint="default" w:ascii="Times New Roman" w:hAnsi="Times New Roman" w:cs="Times New Roman"/>
        </w:rPr>
      </w:pPr>
    </w:p>
    <w:p>
      <w:pPr>
        <w:rPr>
          <w:rFonts w:hint="default" w:ascii="Times New Roman" w:hAnsi="Times New Roman" w:cs="Times New Roman"/>
        </w:rPr>
      </w:pPr>
    </w:p>
    <w:p>
      <w:pPr>
        <w:spacing w:line="560" w:lineRule="exact"/>
        <w:rPr>
          <w:rFonts w:hint="default" w:ascii="Times New Roman" w:hAnsi="Times New Roman" w:eastAsia="方正仿宋_GBK" w:cs="Times New Roman"/>
          <w:b/>
          <w:bCs/>
          <w:sz w:val="28"/>
          <w:szCs w:val="28"/>
        </w:rPr>
      </w:pPr>
    </w:p>
    <w:p>
      <w:pPr>
        <w:spacing w:line="560" w:lineRule="exact"/>
        <w:rPr>
          <w:rFonts w:hint="default" w:ascii="Times New Roman" w:hAnsi="Times New Roman" w:eastAsia="方正仿宋_GBK" w:cs="Times New Roman"/>
          <w:b/>
          <w:bCs/>
          <w:sz w:val="28"/>
          <w:szCs w:val="28"/>
        </w:rPr>
      </w:pPr>
    </w:p>
    <w:p>
      <w:pPr>
        <w:spacing w:line="560" w:lineRule="exact"/>
        <w:ind w:left="1124" w:hanging="1124" w:hangingChars="400"/>
        <w:rPr>
          <w:rFonts w:hint="default" w:ascii="Times New Roman" w:hAnsi="Times New Roman" w:eastAsia="方正仿宋_GBK" w:cs="Times New Roman"/>
          <w:b/>
          <w:bCs/>
          <w:sz w:val="28"/>
          <w:szCs w:val="28"/>
        </w:rPr>
      </w:pPr>
    </w:p>
    <w:p>
      <w:pPr>
        <w:spacing w:line="560" w:lineRule="exact"/>
        <w:rPr>
          <w:rFonts w:hint="default" w:ascii="Times New Roman" w:hAnsi="Times New Roman" w:eastAsia="方正仿宋_GBK" w:cs="Times New Roman"/>
          <w:b/>
          <w:bCs/>
          <w:sz w:val="28"/>
          <w:szCs w:val="28"/>
        </w:rPr>
      </w:pPr>
    </w:p>
    <w:p>
      <w:pPr>
        <w:spacing w:line="560" w:lineRule="exact"/>
        <w:ind w:left="1124" w:hanging="1124" w:hangingChars="400"/>
        <w:rPr>
          <w:rFonts w:hint="default" w:ascii="Times New Roman" w:hAnsi="Times New Roman" w:eastAsia="方正仿宋_GBK" w:cs="Times New Roman"/>
          <w:kern w:val="24"/>
          <w:sz w:val="28"/>
          <w:szCs w:val="28"/>
        </w:rPr>
      </w:pPr>
      <w:r>
        <w:rPr>
          <w:rFonts w:hint="default" w:ascii="Times New Roman" w:hAnsi="Times New Roman" w:eastAsia="方正仿宋_GBK" w:cs="Times New Roman"/>
          <w:b/>
          <w:bCs/>
          <w:sz w:val="28"/>
          <w:szCs w:val="28"/>
        </w:rPr>
        <w:t>抄  送</w:t>
      </w:r>
      <w:r>
        <w:rPr>
          <w:rFonts w:hint="default" w:ascii="Times New Roman" w:hAnsi="Times New Roman" w:eastAsia="方正仿宋_GBK" w:cs="Times New Roman"/>
          <w:sz w:val="28"/>
          <w:szCs w:val="28"/>
        </w:rPr>
        <w:t>：</w:t>
      </w:r>
      <w:r>
        <w:rPr>
          <w:rFonts w:hint="default" w:ascii="Times New Roman" w:hAnsi="Times New Roman" w:eastAsia="方正仿宋_GBK" w:cs="Times New Roman"/>
          <w:kern w:val="24"/>
          <w:sz w:val="28"/>
          <w:szCs w:val="28"/>
        </w:rPr>
        <w:t>忠县</w:t>
      </w:r>
      <w:r>
        <w:rPr>
          <w:rFonts w:hint="eastAsia" w:ascii="Times New Roman" w:hAnsi="Times New Roman" w:eastAsia="方正仿宋_GBK" w:cs="Times New Roman"/>
          <w:kern w:val="24"/>
          <w:sz w:val="28"/>
          <w:szCs w:val="28"/>
          <w:lang w:eastAsia="zh-CN"/>
        </w:rPr>
        <w:t>马灌镇</w:t>
      </w:r>
      <w:r>
        <w:rPr>
          <w:rFonts w:hint="default" w:ascii="Times New Roman" w:hAnsi="Times New Roman" w:eastAsia="方正仿宋_GBK" w:cs="Times New Roman"/>
          <w:kern w:val="24"/>
          <w:sz w:val="28"/>
          <w:szCs w:val="28"/>
        </w:rPr>
        <w:t>人民政府，忠县生态环境保护综合行政执法支队，</w:t>
      </w:r>
    </w:p>
    <w:p>
      <w:pPr>
        <w:spacing w:line="560" w:lineRule="exact"/>
        <w:ind w:firstLine="1120" w:firstLineChars="400"/>
        <w:rPr>
          <w:rFonts w:hint="default" w:ascii="Times New Roman" w:hAnsi="Times New Roman" w:eastAsia="方正仿宋_GBK" w:cs="Times New Roman"/>
          <w:kern w:val="24"/>
          <w:sz w:val="28"/>
          <w:szCs w:val="28"/>
        </w:rPr>
      </w:pPr>
      <w:r>
        <w:rPr>
          <w:rFonts w:hint="default" w:ascii="Times New Roman" w:hAnsi="Times New Roman" w:eastAsia="方正仿宋_GBK" w:cs="Times New Roman"/>
          <w:kern w:val="24"/>
          <w:sz w:val="28"/>
          <w:szCs w:val="28"/>
        </w:rPr>
        <w:t>重庆渝佳环境影响评价有</w:t>
      </w:r>
      <w:bookmarkStart w:id="2" w:name="_GoBack"/>
      <w:bookmarkEnd w:id="2"/>
      <w:r>
        <w:rPr>
          <w:rFonts w:hint="default" w:ascii="Times New Roman" w:hAnsi="Times New Roman" w:eastAsia="方正仿宋_GBK" w:cs="Times New Roman"/>
          <w:kern w:val="24"/>
          <w:sz w:val="28"/>
          <w:szCs w:val="28"/>
        </w:rPr>
        <w:t>限公司。</w:t>
      </w:r>
    </w:p>
    <w:p>
      <w:pPr>
        <w:tabs>
          <w:tab w:val="center" w:pos="4507"/>
        </w:tabs>
        <w:rPr>
          <w:rFonts w:hint="default" w:ascii="Times New Roman" w:hAnsi="Times New Roman" w:cs="Times New Roman"/>
        </w:rPr>
      </w:pPr>
      <w:r>
        <w:rPr>
          <w:rFonts w:hint="default" w:ascii="Times New Roman" w:hAnsi="Times New Roman" w:eastAsia="方正仿宋_GBK" w:cs="Times New Roman"/>
          <w:kern w:val="24"/>
          <w:sz w:val="30"/>
          <w:szCs w:val="30"/>
        </w:rPr>
        <w:pict>
          <v:line id="直线 2" o:spid="_x0000_s2053" o:spt="20" style="position:absolute;left:0pt;margin-left:-1.2pt;margin-top:6.6pt;height:0pt;width:450pt;z-index:251661312;mso-width-relative:page;mso-height-relative:page;" coordsize="21600,21600">
            <v:path arrowok="t"/>
            <v:fill focussize="0,0"/>
            <v:stroke/>
            <v:imagedata o:title=""/>
            <o:lock v:ext="edit"/>
          </v:line>
        </w:pict>
      </w:r>
    </w:p>
    <w:sectPr>
      <w:footerReference r:id="rId4" w:type="default"/>
      <w:pgSz w:w="11906" w:h="16838"/>
      <w:pgMar w:top="1984" w:right="1446" w:bottom="1644" w:left="1446" w:header="851" w:footer="992" w:gutter="0"/>
      <w:pgNumType w:fmt="numberInDash" w:start="2"/>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altName w:val="Wingdings 2"/>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altName w:val="Segoe UI 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A00002EF" w:usb1="4000004B" w:usb2="00000000" w:usb3="00000000" w:csb0="2000009F" w:csb1="00000000"/>
  </w:font>
  <w:font w:name="方正仿宋_GBK">
    <w:panose1 w:val="03000509000000000000"/>
    <w:charset w:val="86"/>
    <w:family w:val="script"/>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Wingdings 2">
    <w:panose1 w:val="05020102010507070707"/>
    <w:charset w:val="00"/>
    <w:family w:val="auto"/>
    <w:pitch w:val="default"/>
    <w:sig w:usb0="00000000" w:usb1="00000000" w:usb2="00000000" w:usb3="00000000" w:csb0="80000000" w:csb1="00000000"/>
  </w:font>
  <w:font w:name="Segoe UI Symbol">
    <w:panose1 w:val="020B0502040204020203"/>
    <w:charset w:val="00"/>
    <w:family w:val="auto"/>
    <w:pitch w:val="default"/>
    <w:sig w:usb0="8000006F" w:usb1="1200FBEF" w:usb2="0064C000" w:usb3="00000002"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tabs>
        <w:tab w:val="left" w:pos="8305"/>
        <w:tab w:val="clear" w:pos="4153"/>
      </w:tabs>
      <w:rPr>
        <w:rFonts w:hint="eastAsia"/>
        <w:lang w:eastAsia="zh-CN"/>
      </w:rPr>
    </w:pPr>
    <w:r>
      <w:rPr>
        <w:rFonts w:hint="eastAsia"/>
        <w:lang w:eastAsia="zh-CN"/>
      </w:rPr>
      <w:tab/>
    </w:r>
  </w:p>
  <w:p>
    <w:pPr>
      <w:pStyle w:val="8"/>
      <w:tabs>
        <w:tab w:val="left" w:pos="8305"/>
        <w:tab w:val="clear" w:pos="4153"/>
      </w:tabs>
      <w:rPr>
        <w:rFonts w:hint="eastAsia"/>
        <w:lang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tabs>
        <w:tab w:val="left" w:pos="8305"/>
        <w:tab w:val="clear" w:pos="4153"/>
      </w:tabs>
      <w:rPr>
        <w:rFonts w:hint="eastAsia"/>
        <w:lang w:eastAsia="zh-CN"/>
      </w:rPr>
    </w:pPr>
    <w:r>
      <w:rPr>
        <w:sz w:val="18"/>
      </w:rPr>
      <w:pict>
        <v:shape id="_x0000_s3092" o:spid="_x0000_s3092" o:spt="202" type="#_x0000_t202" style="position:absolute;left:0pt;margin-top:0pt;height:144pt;width:144pt;mso-position-horizontal:outside;mso-position-horizontal-relative:margin;mso-wrap-style:none;z-index:251665408;mso-width-relative:page;mso-height-relative:page;" filled="f" stroked="f" coordsize="21600,21600">
          <v:path/>
          <v:fill on="f" focussize="0,0"/>
          <v:stroke on="f"/>
          <v:imagedata o:title=""/>
          <o:lock v:ext="edit" aspectratio="f"/>
          <v:textbox inset="0mm,0mm,0mm,0mm" style="mso-fit-shape-to-text:t;">
            <w:txbxContent>
              <w:p>
                <w:pPr>
                  <w:pStyle w:val="8"/>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- 2 -</w:t>
                </w:r>
                <w:r>
                  <w:rPr>
                    <w:rFonts w:hint="eastAsia" w:asciiTheme="minorEastAsia" w:hAnsiTheme="minorEastAsia" w:eastAsiaTheme="minorEastAsia" w:cstheme="minorEastAsia"/>
                    <w:sz w:val="28"/>
                    <w:szCs w:val="28"/>
                    <w:lang w:eastAsia="zh-CN"/>
                  </w:rPr>
                  <w:fldChar w:fldCharType="end"/>
                </w:r>
              </w:p>
            </w:txbxContent>
          </v:textbox>
        </v:shape>
      </w:pict>
    </w:r>
    <w:r>
      <w:rPr>
        <w:rFonts w:hint="eastAsia"/>
        <w:lang w:eastAsia="zh-CN"/>
      </w:rPr>
      <w:tab/>
    </w:r>
  </w:p>
  <w:p>
    <w:pPr>
      <w:pStyle w:val="8"/>
      <w:tabs>
        <w:tab w:val="left" w:pos="8305"/>
        <w:tab w:val="clear" w:pos="4153"/>
      </w:tabs>
      <w:rPr>
        <w:rFonts w:hint="eastAsia"/>
        <w:lang w:eastAsia="zh-CN"/>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3C0D1F"/>
    <w:rsid w:val="00040412"/>
    <w:rsid w:val="000B07AE"/>
    <w:rsid w:val="003C0D1F"/>
    <w:rsid w:val="00F45E0E"/>
    <w:rsid w:val="01037307"/>
    <w:rsid w:val="013D2278"/>
    <w:rsid w:val="026E122D"/>
    <w:rsid w:val="040574D1"/>
    <w:rsid w:val="04644676"/>
    <w:rsid w:val="04682632"/>
    <w:rsid w:val="051C3C3C"/>
    <w:rsid w:val="07990C11"/>
    <w:rsid w:val="081228D5"/>
    <w:rsid w:val="082E24B8"/>
    <w:rsid w:val="09132DE6"/>
    <w:rsid w:val="09C10D48"/>
    <w:rsid w:val="0AF01C04"/>
    <w:rsid w:val="0BB300DA"/>
    <w:rsid w:val="0D761014"/>
    <w:rsid w:val="0E52049F"/>
    <w:rsid w:val="0E931337"/>
    <w:rsid w:val="0FFF22E6"/>
    <w:rsid w:val="12EE7A4E"/>
    <w:rsid w:val="1313415C"/>
    <w:rsid w:val="13BE3D1D"/>
    <w:rsid w:val="13CC6589"/>
    <w:rsid w:val="1537750F"/>
    <w:rsid w:val="16143D98"/>
    <w:rsid w:val="163970A5"/>
    <w:rsid w:val="16E9656A"/>
    <w:rsid w:val="17512FF7"/>
    <w:rsid w:val="19654966"/>
    <w:rsid w:val="1C0E69D9"/>
    <w:rsid w:val="1D350708"/>
    <w:rsid w:val="1D3C5B12"/>
    <w:rsid w:val="1D7E5757"/>
    <w:rsid w:val="1DF55050"/>
    <w:rsid w:val="1F9F7648"/>
    <w:rsid w:val="1FA9567E"/>
    <w:rsid w:val="1FBA0081"/>
    <w:rsid w:val="214B2E6B"/>
    <w:rsid w:val="22531761"/>
    <w:rsid w:val="22B25C4E"/>
    <w:rsid w:val="23415C11"/>
    <w:rsid w:val="24361068"/>
    <w:rsid w:val="244B173E"/>
    <w:rsid w:val="25972E31"/>
    <w:rsid w:val="25E810F1"/>
    <w:rsid w:val="27761FEE"/>
    <w:rsid w:val="27773916"/>
    <w:rsid w:val="279C05A4"/>
    <w:rsid w:val="28244C3D"/>
    <w:rsid w:val="282743D2"/>
    <w:rsid w:val="2912060E"/>
    <w:rsid w:val="2A235428"/>
    <w:rsid w:val="2A502526"/>
    <w:rsid w:val="2B11303B"/>
    <w:rsid w:val="2E3A06FF"/>
    <w:rsid w:val="2FD55955"/>
    <w:rsid w:val="3152097A"/>
    <w:rsid w:val="31AE6B8A"/>
    <w:rsid w:val="31BF61EC"/>
    <w:rsid w:val="31F041DE"/>
    <w:rsid w:val="325F285B"/>
    <w:rsid w:val="32A04780"/>
    <w:rsid w:val="34A36DBF"/>
    <w:rsid w:val="34E30848"/>
    <w:rsid w:val="361361EC"/>
    <w:rsid w:val="36FB4ADB"/>
    <w:rsid w:val="37831032"/>
    <w:rsid w:val="379F0B67"/>
    <w:rsid w:val="37D558E8"/>
    <w:rsid w:val="39120C0C"/>
    <w:rsid w:val="395D2B82"/>
    <w:rsid w:val="39EC424E"/>
    <w:rsid w:val="3B2E76A1"/>
    <w:rsid w:val="3D3A7B30"/>
    <w:rsid w:val="3E5D367C"/>
    <w:rsid w:val="40655075"/>
    <w:rsid w:val="41543FD9"/>
    <w:rsid w:val="422F53A7"/>
    <w:rsid w:val="42FA6F01"/>
    <w:rsid w:val="442F71E7"/>
    <w:rsid w:val="458B3954"/>
    <w:rsid w:val="46505C50"/>
    <w:rsid w:val="469C49FD"/>
    <w:rsid w:val="46B12A5A"/>
    <w:rsid w:val="46E82D7E"/>
    <w:rsid w:val="487906B8"/>
    <w:rsid w:val="49AA6823"/>
    <w:rsid w:val="49CC417E"/>
    <w:rsid w:val="4B764B0B"/>
    <w:rsid w:val="4C23683C"/>
    <w:rsid w:val="4E4F1D52"/>
    <w:rsid w:val="4EB73EEB"/>
    <w:rsid w:val="4F4E0667"/>
    <w:rsid w:val="4F5E5A7E"/>
    <w:rsid w:val="4FAD0FE7"/>
    <w:rsid w:val="5087367C"/>
    <w:rsid w:val="525C3B37"/>
    <w:rsid w:val="531A526E"/>
    <w:rsid w:val="532302B8"/>
    <w:rsid w:val="53FF16AE"/>
    <w:rsid w:val="54A04114"/>
    <w:rsid w:val="54D94C37"/>
    <w:rsid w:val="55D55AAE"/>
    <w:rsid w:val="561D6A02"/>
    <w:rsid w:val="574D3DF2"/>
    <w:rsid w:val="577C1ABC"/>
    <w:rsid w:val="57897A2D"/>
    <w:rsid w:val="580671B2"/>
    <w:rsid w:val="586779D9"/>
    <w:rsid w:val="58F8741A"/>
    <w:rsid w:val="59D01D3F"/>
    <w:rsid w:val="59FE4030"/>
    <w:rsid w:val="5B21336A"/>
    <w:rsid w:val="5BEB22C2"/>
    <w:rsid w:val="5C922258"/>
    <w:rsid w:val="5D3A6FCA"/>
    <w:rsid w:val="5E4D2264"/>
    <w:rsid w:val="5EBA7BE0"/>
    <w:rsid w:val="60BD3726"/>
    <w:rsid w:val="624F30FF"/>
    <w:rsid w:val="63147177"/>
    <w:rsid w:val="63C41C4E"/>
    <w:rsid w:val="667F3177"/>
    <w:rsid w:val="669A4CD5"/>
    <w:rsid w:val="695F22B5"/>
    <w:rsid w:val="6BE00DB5"/>
    <w:rsid w:val="6E22218E"/>
    <w:rsid w:val="6F0345ED"/>
    <w:rsid w:val="6F4B0EDE"/>
    <w:rsid w:val="6FE9122B"/>
    <w:rsid w:val="70D42B70"/>
    <w:rsid w:val="70D7711E"/>
    <w:rsid w:val="71ED27C3"/>
    <w:rsid w:val="74FB502C"/>
    <w:rsid w:val="755118B3"/>
    <w:rsid w:val="76305878"/>
    <w:rsid w:val="766F6B6E"/>
    <w:rsid w:val="77334841"/>
    <w:rsid w:val="77816E47"/>
    <w:rsid w:val="78BE0D47"/>
    <w:rsid w:val="7AB11CD0"/>
    <w:rsid w:val="7C4C7156"/>
    <w:rsid w:val="7C545273"/>
    <w:rsid w:val="7E10394A"/>
    <w:rsid w:val="7E3B4692"/>
    <w:rsid w:val="7E915B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qFormat="1" w:uiPriority="99" w:semiHidden="0"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link w:val="14"/>
    <w:qFormat/>
    <w:uiPriority w:val="0"/>
    <w:pPr>
      <w:keepNext/>
      <w:spacing w:line="240" w:lineRule="exact"/>
      <w:jc w:val="center"/>
      <w:outlineLvl w:val="0"/>
    </w:pPr>
    <w:rPr>
      <w:rFonts w:ascii="仿宋_GB2312" w:eastAsia="仿宋_GB2312"/>
      <w:b/>
      <w:color w:val="000000"/>
      <w:sz w:val="24"/>
    </w:rPr>
  </w:style>
  <w:style w:type="paragraph" w:styleId="4">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2">
    <w:name w:val="heading 4"/>
    <w:basedOn w:val="1"/>
    <w:next w:val="1"/>
    <w:link w:val="15"/>
    <w:qFormat/>
    <w:uiPriority w:val="0"/>
    <w:pPr>
      <w:keepNext/>
      <w:keepLines/>
      <w:spacing w:line="372" w:lineRule="auto"/>
      <w:outlineLvl w:val="3"/>
    </w:pPr>
    <w:rPr>
      <w:rFonts w:ascii="Cambria" w:hAnsi="Cambria"/>
      <w:sz w:val="28"/>
      <w:szCs w:val="28"/>
    </w:rPr>
  </w:style>
  <w:style w:type="character" w:default="1" w:styleId="10">
    <w:name w:val="Default Paragraph Font"/>
    <w:semiHidden/>
    <w:unhideWhenUsed/>
    <w:qFormat/>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5">
    <w:name w:val="List 3"/>
    <w:basedOn w:val="1"/>
    <w:unhideWhenUsed/>
    <w:qFormat/>
    <w:uiPriority w:val="99"/>
    <w:pPr>
      <w:ind w:left="100" w:leftChars="400" w:hanging="200" w:hangingChars="200"/>
      <w:contextualSpacing/>
    </w:pPr>
  </w:style>
  <w:style w:type="paragraph" w:styleId="6">
    <w:name w:val="Body Text First Indent"/>
    <w:basedOn w:val="7"/>
    <w:link w:val="19"/>
    <w:semiHidden/>
    <w:unhideWhenUsed/>
    <w:qFormat/>
    <w:uiPriority w:val="99"/>
    <w:pPr>
      <w:widowControl w:val="0"/>
      <w:spacing w:after="120"/>
      <w:ind w:firstLine="420" w:firstLineChars="100"/>
      <w:jc w:val="both"/>
    </w:pPr>
    <w:rPr>
      <w:kern w:val="2"/>
      <w:sz w:val="21"/>
      <w:szCs w:val="24"/>
    </w:rPr>
  </w:style>
  <w:style w:type="paragraph" w:styleId="7">
    <w:name w:val="Body Text"/>
    <w:basedOn w:val="1"/>
    <w:link w:val="16"/>
    <w:qFormat/>
    <w:uiPriority w:val="0"/>
    <w:pPr>
      <w:widowControl/>
      <w:jc w:val="left"/>
    </w:pPr>
    <w:rPr>
      <w:kern w:val="0"/>
      <w:sz w:val="32"/>
      <w:szCs w:val="20"/>
    </w:rPr>
  </w:style>
  <w:style w:type="paragraph" w:styleId="8">
    <w:name w:val="footer"/>
    <w:basedOn w:val="1"/>
    <w:link w:val="13"/>
    <w:semiHidden/>
    <w:unhideWhenUsed/>
    <w:qFormat/>
    <w:uiPriority w:val="99"/>
    <w:pPr>
      <w:tabs>
        <w:tab w:val="center" w:pos="4153"/>
        <w:tab w:val="right" w:pos="8306"/>
      </w:tabs>
      <w:snapToGrid w:val="0"/>
      <w:jc w:val="left"/>
    </w:pPr>
    <w:rPr>
      <w:sz w:val="18"/>
      <w:szCs w:val="18"/>
    </w:rPr>
  </w:style>
  <w:style w:type="paragraph" w:styleId="9">
    <w:name w:val="header"/>
    <w:basedOn w:val="1"/>
    <w:link w:val="12"/>
    <w:semiHidden/>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12">
    <w:name w:val="页眉 Char"/>
    <w:basedOn w:val="10"/>
    <w:link w:val="9"/>
    <w:semiHidden/>
    <w:qFormat/>
    <w:uiPriority w:val="99"/>
    <w:rPr>
      <w:sz w:val="18"/>
      <w:szCs w:val="18"/>
    </w:rPr>
  </w:style>
  <w:style w:type="character" w:customStyle="1" w:styleId="13">
    <w:name w:val="页脚 Char"/>
    <w:basedOn w:val="10"/>
    <w:link w:val="8"/>
    <w:semiHidden/>
    <w:qFormat/>
    <w:uiPriority w:val="99"/>
    <w:rPr>
      <w:sz w:val="18"/>
      <w:szCs w:val="18"/>
    </w:rPr>
  </w:style>
  <w:style w:type="character" w:customStyle="1" w:styleId="14">
    <w:name w:val="标题 1 Char"/>
    <w:basedOn w:val="10"/>
    <w:link w:val="3"/>
    <w:qFormat/>
    <w:uiPriority w:val="0"/>
    <w:rPr>
      <w:rFonts w:ascii="仿宋_GB2312" w:hAnsi="Calibri" w:eastAsia="仿宋_GB2312" w:cs="Times New Roman"/>
      <w:b/>
      <w:color w:val="000000"/>
      <w:sz w:val="24"/>
      <w:szCs w:val="24"/>
    </w:rPr>
  </w:style>
  <w:style w:type="character" w:customStyle="1" w:styleId="15">
    <w:name w:val="标题 4 Char"/>
    <w:basedOn w:val="10"/>
    <w:link w:val="2"/>
    <w:qFormat/>
    <w:uiPriority w:val="0"/>
    <w:rPr>
      <w:rFonts w:ascii="Cambria" w:hAnsi="Cambria" w:eastAsia="宋体" w:cs="Times New Roman"/>
      <w:sz w:val="28"/>
      <w:szCs w:val="28"/>
    </w:rPr>
  </w:style>
  <w:style w:type="character" w:customStyle="1" w:styleId="16">
    <w:name w:val="正文文本 Char"/>
    <w:basedOn w:val="10"/>
    <w:link w:val="7"/>
    <w:qFormat/>
    <w:uiPriority w:val="0"/>
    <w:rPr>
      <w:rFonts w:ascii="Calibri" w:hAnsi="Calibri" w:eastAsia="宋体" w:cs="Times New Roman"/>
      <w:kern w:val="0"/>
      <w:sz w:val="32"/>
      <w:szCs w:val="20"/>
    </w:rPr>
  </w:style>
  <w:style w:type="character" w:customStyle="1" w:styleId="17">
    <w:name w:val="tb Char"/>
    <w:link w:val="18"/>
    <w:qFormat/>
    <w:uiPriority w:val="0"/>
    <w:rPr>
      <w:rFonts w:ascii="宋体" w:hAnsi="Arial" w:eastAsia="宋体"/>
      <w:sz w:val="24"/>
    </w:rPr>
  </w:style>
  <w:style w:type="paragraph" w:customStyle="1" w:styleId="18">
    <w:name w:val="tb"/>
    <w:basedOn w:val="1"/>
    <w:link w:val="17"/>
    <w:qFormat/>
    <w:uiPriority w:val="0"/>
    <w:pPr>
      <w:spacing w:line="400" w:lineRule="atLeast"/>
    </w:pPr>
    <w:rPr>
      <w:rFonts w:ascii="宋体" w:hAnsi="Arial" w:cstheme="minorBidi"/>
      <w:sz w:val="24"/>
      <w:szCs w:val="22"/>
    </w:rPr>
  </w:style>
  <w:style w:type="character" w:customStyle="1" w:styleId="19">
    <w:name w:val="正文首行缩进 Char"/>
    <w:basedOn w:val="16"/>
    <w:link w:val="6"/>
    <w:semiHidden/>
    <w:qFormat/>
    <w:uiPriority w:val="99"/>
  </w:style>
  <w:style w:type="paragraph" w:customStyle="1" w:styleId="20">
    <w:name w:val="Default"/>
    <w:next w:val="5"/>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3092" textRotate="1"/>
    <customShpInfo spid="_x0000_s2055"/>
    <customShpInfo spid="_x0000_s205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Pages>
  <Words>420</Words>
  <Characters>2400</Characters>
  <Lines>20</Lines>
  <Paragraphs>5</Paragraphs>
  <TotalTime>2</TotalTime>
  <ScaleCrop>false</ScaleCrop>
  <LinksUpToDate>false</LinksUpToDate>
  <CharactersWithSpaces>2815</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2023-10-07T07:03:00Z</dcterms:created>
  <dc:creator>PC</dc:creator>
  <cp:lastModifiedBy>代明星</cp:lastModifiedBy>
  <cp:lastPrinted>2024-08-08T07:04:00Z</cp:lastPrinted>
  <dcterms:modified xsi:type="dcterms:W3CDTF">2024-09-04T06:37:14Z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