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hd w:val="clear" w:color="auto" w:fill="FFFFFF"/>
        <w:spacing w:beforeAutospacing="0" w:afterAutospacing="0" w:line="600" w:lineRule="exact"/>
        <w:jc w:val="center"/>
        <w:rPr>
          <w:rFonts w:ascii="Times New Roman" w:hAnsi="Times New Roman" w:eastAsia="方正仿宋_GBK"/>
          <w:color w:val="000000"/>
          <w:sz w:val="32"/>
          <w:szCs w:val="32"/>
          <w:shd w:val="clear" w:color="auto" w:fill="FFFFFF"/>
        </w:rPr>
      </w:pPr>
    </w:p>
    <w:p>
      <w:pPr>
        <w:pStyle w:val="9"/>
        <w:widowControl/>
        <w:shd w:val="clear" w:color="auto" w:fill="FFFFFF"/>
        <w:spacing w:beforeAutospacing="0" w:afterAutospacing="0" w:line="600" w:lineRule="exact"/>
        <w:jc w:val="center"/>
        <w:rPr>
          <w:rFonts w:ascii="Times New Roman" w:hAnsi="Times New Roman" w:eastAsia="方正仿宋_GBK"/>
          <w:color w:val="000000"/>
          <w:sz w:val="32"/>
          <w:szCs w:val="32"/>
          <w:shd w:val="clear" w:color="auto" w:fill="FFFFFF"/>
        </w:rPr>
      </w:pPr>
    </w:p>
    <w:p>
      <w:pPr>
        <w:spacing w:line="540" w:lineRule="exact"/>
        <w:jc w:val="center"/>
        <w:rPr>
          <w:rFonts w:eastAsia="方正小标宋_GBK"/>
          <w:sz w:val="44"/>
          <w:szCs w:val="44"/>
        </w:rPr>
      </w:pPr>
      <w:r>
        <w:rPr>
          <w:rFonts w:eastAsia="方正小标宋_GBK"/>
          <w:sz w:val="44"/>
          <w:szCs w:val="44"/>
        </w:rPr>
        <w:t>忠县</w:t>
      </w:r>
      <w:r>
        <w:rPr>
          <w:rFonts w:hint="eastAsia" w:eastAsia="方正小标宋_GBK"/>
          <w:sz w:val="44"/>
          <w:szCs w:val="44"/>
        </w:rPr>
        <w:t>商务委员会</w:t>
      </w:r>
    </w:p>
    <w:p>
      <w:pPr>
        <w:spacing w:line="540" w:lineRule="exact"/>
        <w:jc w:val="center"/>
        <w:rPr>
          <w:rFonts w:eastAsia="方正小标宋_GBK"/>
          <w:sz w:val="44"/>
          <w:szCs w:val="44"/>
        </w:rPr>
      </w:pPr>
      <w:r>
        <w:rPr>
          <w:rFonts w:hint="eastAsia" w:ascii="Times New Roman" w:hAnsi="Times New Roman" w:eastAsia="方正小标宋_GBK"/>
          <w:sz w:val="44"/>
          <w:szCs w:val="44"/>
        </w:rPr>
        <w:t>关于落实再生资源回收行业安全生产管理八条措施的通知</w:t>
      </w:r>
    </w:p>
    <w:p>
      <w:pPr>
        <w:pStyle w:val="9"/>
        <w:widowControl/>
        <w:shd w:val="clear" w:color="auto" w:fill="FFFFFF"/>
        <w:spacing w:beforeAutospacing="0" w:afterAutospacing="0" w:line="540" w:lineRule="exact"/>
        <w:jc w:val="center"/>
        <w:rPr>
          <w:rFonts w:eastAsia="方正仿宋_GBK"/>
          <w:color w:val="000000"/>
          <w:sz w:val="32"/>
          <w:szCs w:val="32"/>
        </w:rPr>
      </w:pPr>
      <w:r>
        <w:rPr>
          <w:rFonts w:ascii="Times New Roman" w:hAnsi="Times New Roman" w:eastAsia="方正仿宋_GBK"/>
          <w:bCs/>
          <w:sz w:val="32"/>
          <w:szCs w:val="44"/>
        </w:rPr>
        <w:t>忠商务发〔202</w:t>
      </w:r>
      <w:r>
        <w:rPr>
          <w:rFonts w:hint="eastAsia" w:ascii="Times New Roman" w:hAnsi="Times New Roman" w:eastAsia="方正仿宋_GBK"/>
          <w:bCs/>
          <w:sz w:val="32"/>
          <w:szCs w:val="44"/>
        </w:rPr>
        <w:t>2</w:t>
      </w:r>
      <w:r>
        <w:rPr>
          <w:rFonts w:ascii="Times New Roman" w:hAnsi="Times New Roman" w:eastAsia="方正仿宋_GBK"/>
          <w:bCs/>
          <w:sz w:val="32"/>
          <w:szCs w:val="44"/>
        </w:rPr>
        <w:t>〕</w:t>
      </w:r>
      <w:r>
        <w:rPr>
          <w:rFonts w:hint="eastAsia" w:ascii="Times New Roman" w:hAnsi="Times New Roman" w:eastAsia="方正仿宋_GBK"/>
          <w:bCs/>
          <w:sz w:val="32"/>
          <w:szCs w:val="44"/>
        </w:rPr>
        <w:t>2</w:t>
      </w:r>
      <w:r>
        <w:rPr>
          <w:rFonts w:ascii="Times New Roman" w:hAnsi="Times New Roman" w:eastAsia="方正仿宋_GBK"/>
          <w:bCs/>
          <w:sz w:val="32"/>
          <w:szCs w:val="44"/>
        </w:rPr>
        <w:t>号</w:t>
      </w:r>
    </w:p>
    <w:p>
      <w:pPr>
        <w:pStyle w:val="9"/>
        <w:widowControl/>
        <w:shd w:val="clear" w:color="auto" w:fill="FFFFFF"/>
        <w:spacing w:beforeAutospacing="0" w:afterAutospacing="0" w:line="540" w:lineRule="exact"/>
        <w:jc w:val="center"/>
        <w:rPr>
          <w:rFonts w:eastAsia="方正仿宋_GBK"/>
          <w:color w:val="000000"/>
          <w:sz w:val="32"/>
          <w:szCs w:val="32"/>
        </w:rPr>
      </w:pPr>
    </w:p>
    <w:p>
      <w:pPr>
        <w:spacing w:line="600" w:lineRule="exact"/>
        <w:jc w:val="left"/>
        <w:rPr>
          <w:rFonts w:ascii="方正仿宋_GBK" w:eastAsia="方正仿宋_GBK"/>
          <w:sz w:val="32"/>
          <w:szCs w:val="32"/>
        </w:rPr>
      </w:pPr>
      <w:r>
        <w:rPr>
          <w:rFonts w:hint="eastAsia" w:ascii="方正仿宋_GBK" w:eastAsia="方正仿宋_GBK"/>
          <w:sz w:val="32"/>
          <w:szCs w:val="32"/>
        </w:rPr>
        <w:t>各乡镇（街道）：</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为贯彻落实《重庆市安全生产委员会办公室关于加强全市再生资源回收行业安全生产管理八条措施的通知》（渝安办﹝2021﹞ 84号）文件及1月8日江书记在全县安全生产和疫情防控工作会议上关于再生资源安全生产讲话精神，深刻汲取重庆市2021年多起再生资源回收网点安全事故教训，现将有关情况通知如下：</w:t>
      </w:r>
    </w:p>
    <w:p>
      <w:pPr>
        <w:spacing w:line="600" w:lineRule="exact"/>
        <w:ind w:firstLine="640" w:firstLineChars="200"/>
        <w:rPr>
          <w:rFonts w:ascii="方正仿宋_GBK" w:eastAsia="方正仿宋_GBK"/>
          <w:sz w:val="32"/>
          <w:szCs w:val="32"/>
        </w:rPr>
      </w:pPr>
      <w:r>
        <w:rPr>
          <w:rFonts w:hint="eastAsia" w:ascii="方正黑体_GBK" w:hAnsi="方正仿宋_GBK" w:eastAsia="方正黑体_GBK" w:cs="方正仿宋_GBK"/>
          <w:sz w:val="32"/>
          <w:szCs w:val="32"/>
        </w:rPr>
        <w:t>一、摸清底数，更新台账。</w:t>
      </w:r>
      <w:r>
        <w:rPr>
          <w:rFonts w:hint="eastAsia" w:ascii="方正仿宋_GBK" w:eastAsia="方正仿宋_GBK"/>
          <w:sz w:val="32"/>
          <w:szCs w:val="32"/>
        </w:rPr>
        <w:t>各乡镇（街道）要落实专人，同市场监管部门沟通后及</w:t>
      </w:r>
      <w:r>
        <w:rPr>
          <w:rFonts w:ascii="方正仿宋_GBK" w:eastAsia="方正仿宋_GBK"/>
          <w:sz w:val="32"/>
          <w:szCs w:val="32"/>
        </w:rPr>
        <w:t>时更</w:t>
      </w:r>
      <w:r>
        <w:rPr>
          <w:rFonts w:ascii="Times New Roman" w:hAnsi="Times New Roman" w:eastAsia="方正仿宋_GBK" w:cs="Times New Roman"/>
          <w:sz w:val="32"/>
          <w:szCs w:val="32"/>
        </w:rPr>
        <w:t>新2021年10月摸排</w:t>
      </w:r>
      <w:r>
        <w:rPr>
          <w:rFonts w:ascii="方正仿宋_GBK" w:eastAsia="方正仿宋_GBK"/>
          <w:sz w:val="32"/>
          <w:szCs w:val="32"/>
        </w:rPr>
        <w:t>建立的辖</w:t>
      </w:r>
      <w:r>
        <w:rPr>
          <w:rFonts w:hint="eastAsia" w:ascii="方正仿宋_GBK" w:eastAsia="方正仿宋_GBK"/>
          <w:sz w:val="32"/>
          <w:szCs w:val="32"/>
        </w:rPr>
        <w:t>区内再生资源回收网点台账，做到底数清、情况明。</w:t>
      </w:r>
    </w:p>
    <w:p>
      <w:pPr>
        <w:spacing w:line="600" w:lineRule="exact"/>
        <w:ind w:firstLine="640" w:firstLineChars="200"/>
        <w:rPr>
          <w:rFonts w:ascii="方正仿宋_GBK" w:eastAsia="方正仿宋_GBK"/>
          <w:sz w:val="32"/>
          <w:szCs w:val="32"/>
        </w:rPr>
      </w:pPr>
      <w:r>
        <w:rPr>
          <w:rFonts w:hint="eastAsia" w:ascii="方正黑体_GBK" w:hAnsi="方正仿宋_GBK" w:eastAsia="方正黑体_GBK" w:cs="方正仿宋_GBK"/>
          <w:sz w:val="32"/>
          <w:szCs w:val="32"/>
        </w:rPr>
        <w:t>二、加强监管，及时排查。</w:t>
      </w:r>
      <w:r>
        <w:rPr>
          <w:rFonts w:hint="eastAsia" w:ascii="方正仿宋_GBK" w:eastAsia="方正仿宋_GBK"/>
          <w:sz w:val="32"/>
          <w:szCs w:val="32"/>
        </w:rPr>
        <w:t>各乡镇（街道）要及时跟市场监管部门沟通，严格准入条件。再生资源网点经营基本条件应至少包括以下内容</w:t>
      </w:r>
      <w:r>
        <w:rPr>
          <w:rFonts w:hint="eastAsia" w:ascii="方正仿宋_GBK" w:hAnsi="Calibri" w:eastAsia="方正仿宋_GBK"/>
          <w:sz w:val="32"/>
          <w:szCs w:val="32"/>
        </w:rPr>
        <w:t>：</w:t>
      </w:r>
    </w:p>
    <w:p>
      <w:pPr>
        <w:spacing w:line="600" w:lineRule="exact"/>
        <w:ind w:firstLine="640" w:firstLineChars="200"/>
        <w:rPr>
          <w:rFonts w:ascii="Times New Roman"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再生资源回收经营者必须</w:t>
      </w:r>
      <w:r>
        <w:rPr>
          <w:rFonts w:hint="eastAsia" w:ascii="Calibri" w:eastAsia="方正仿宋_GBK"/>
          <w:sz w:val="32"/>
          <w:szCs w:val="32"/>
        </w:rPr>
        <w:t>“三有三不”</w:t>
      </w:r>
      <w:r>
        <w:rPr>
          <w:rFonts w:hint="eastAsia" w:ascii="方正仿宋_GBK" w:hAnsi="Calibri" w:eastAsia="方正仿宋_GBK"/>
          <w:sz w:val="32"/>
          <w:szCs w:val="32"/>
        </w:rPr>
        <w:t>：</w:t>
      </w:r>
      <w:r>
        <w:rPr>
          <w:rFonts w:hint="eastAsia" w:ascii="方正仿宋_GBK" w:eastAsia="方正仿宋_GBK"/>
          <w:sz w:val="32"/>
          <w:szCs w:val="32"/>
        </w:rPr>
        <w:t>有营业执照、有岗位规程、有特种作业人员持证上岗</w:t>
      </w:r>
      <w:r>
        <w:rPr>
          <w:rFonts w:hint="eastAsia" w:ascii="方正仿宋_GBK" w:hAnsi="Calibri" w:eastAsia="方正仿宋_GBK"/>
          <w:sz w:val="32"/>
          <w:szCs w:val="32"/>
        </w:rPr>
        <w:t>；</w:t>
      </w:r>
      <w:r>
        <w:rPr>
          <w:rFonts w:hint="eastAsia" w:ascii="方正仿宋_GBK" w:eastAsia="方正仿宋_GBK"/>
          <w:sz w:val="32"/>
          <w:szCs w:val="32"/>
        </w:rPr>
        <w:t>不得回收固体废物、危险废物，不得擅自动火作业切割密闭罐、承压罐，不得擅自处置有毒有害、易燃易爆物品。</w:t>
      </w:r>
    </w:p>
    <w:p>
      <w:pPr>
        <w:spacing w:line="600" w:lineRule="exact"/>
        <w:ind w:firstLine="640" w:firstLineChars="200"/>
        <w:rPr>
          <w:rFonts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再生资源回收站网点必须</w:t>
      </w:r>
      <w:r>
        <w:rPr>
          <w:rFonts w:hint="eastAsia" w:ascii="Calibri" w:eastAsia="方正仿宋_GBK"/>
          <w:sz w:val="32"/>
          <w:szCs w:val="32"/>
        </w:rPr>
        <w:t>“三要三不”</w:t>
      </w:r>
      <w:r>
        <w:rPr>
          <w:rFonts w:hint="eastAsia" w:ascii="方正仿宋_GBK" w:hAnsi="Calibri" w:eastAsia="方正仿宋_GBK"/>
          <w:sz w:val="32"/>
          <w:szCs w:val="32"/>
        </w:rPr>
        <w:t>：</w:t>
      </w:r>
      <w:r>
        <w:rPr>
          <w:rFonts w:hint="eastAsia" w:ascii="方正仿宋_GBK" w:eastAsia="方正仿宋_GBK"/>
          <w:sz w:val="32"/>
          <w:szCs w:val="32"/>
        </w:rPr>
        <w:t>要设置烟感器、要配备灭火器材、电气线路要穿管</w:t>
      </w:r>
      <w:r>
        <w:rPr>
          <w:rFonts w:hint="eastAsia" w:ascii="方正仿宋_GBK" w:hAnsi="Calibri" w:eastAsia="方正仿宋_GBK"/>
          <w:sz w:val="32"/>
          <w:szCs w:val="32"/>
        </w:rPr>
        <w:t>；</w:t>
      </w:r>
      <w:r>
        <w:rPr>
          <w:rFonts w:hint="eastAsia" w:ascii="方正仿宋_GBK" w:eastAsia="方正仿宋_GBK"/>
          <w:sz w:val="32"/>
          <w:szCs w:val="32"/>
        </w:rPr>
        <w:t>不得是</w:t>
      </w:r>
      <w:r>
        <w:rPr>
          <w:rFonts w:hint="eastAsia" w:ascii="Calibri" w:eastAsia="方正仿宋_GBK"/>
          <w:sz w:val="32"/>
          <w:szCs w:val="32"/>
        </w:rPr>
        <w:t>“三合一”场所，不得违章搭建，不得锁闭出口和通道。</w:t>
      </w:r>
    </w:p>
    <w:p>
      <w:pPr>
        <w:spacing w:line="600" w:lineRule="exact"/>
        <w:ind w:firstLine="640" w:firstLineChars="200"/>
        <w:rPr>
          <w:rFonts w:eastAsia="方正仿宋_GBK"/>
          <w:sz w:val="32"/>
          <w:szCs w:val="32"/>
        </w:rPr>
      </w:pPr>
      <w:r>
        <w:rPr>
          <w:rFonts w:hint="eastAsia" w:ascii="方正仿宋_GBK" w:eastAsia="方正仿宋_GBK"/>
          <w:sz w:val="32"/>
          <w:szCs w:val="32"/>
        </w:rPr>
        <w:t>按属地责任对再生资源网点开展日常性检查，在授权范围内对发现的违法违规行为依法查处，及时移交授权范围外的违法行为。每月</w:t>
      </w:r>
      <w:r>
        <w:rPr>
          <w:rFonts w:ascii="Times New Roman" w:hAnsi="Times New Roman" w:eastAsia="方正仿宋_GBK" w:cs="Times New Roman"/>
          <w:sz w:val="32"/>
          <w:szCs w:val="32"/>
        </w:rPr>
        <w:t>15</w:t>
      </w:r>
      <w:r>
        <w:rPr>
          <w:rFonts w:hint="eastAsia" w:ascii="方正仿宋_GBK" w:eastAsia="方正仿宋_GBK"/>
          <w:sz w:val="32"/>
          <w:szCs w:val="32"/>
        </w:rPr>
        <w:t>日前将忠县再生资源回收网点安全生产排查表电子档传商务委。（表格见附件）</w:t>
      </w:r>
    </w:p>
    <w:p>
      <w:pPr>
        <w:spacing w:line="600" w:lineRule="exact"/>
        <w:ind w:firstLine="640" w:firstLineChars="200"/>
        <w:jc w:val="left"/>
        <w:rPr>
          <w:rFonts w:ascii="方正仿宋_GBK" w:eastAsia="方正仿宋_GBK"/>
          <w:sz w:val="32"/>
          <w:szCs w:val="32"/>
        </w:rPr>
      </w:pPr>
      <w:r>
        <w:rPr>
          <w:rFonts w:hint="eastAsia" w:ascii="方正黑体_GBK" w:hAnsi="方正仿宋_GBK" w:eastAsia="方正黑体_GBK" w:cs="方正仿宋_GBK"/>
          <w:sz w:val="32"/>
          <w:szCs w:val="32"/>
        </w:rPr>
        <w:t>三、强化宣传，提前预防。</w:t>
      </w:r>
      <w:r>
        <w:rPr>
          <w:rFonts w:hint="eastAsia" w:ascii="方正仿宋_GBK" w:eastAsia="方正仿宋_GBK"/>
          <w:sz w:val="32"/>
          <w:szCs w:val="32"/>
        </w:rPr>
        <w:t>各乡镇（街道）在召开相关安全生产会议时，要将再生资源回收网点纳入培训范围。并在开展安全巡查时要加强宣传和指导。促使再生资源回收经营者强化安全管理、加大安全投入、防范安全事故。</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县商务委将每月抽取两个乡镇进行</w:t>
      </w:r>
      <w:bookmarkStart w:id="0" w:name="_GoBack"/>
      <w:bookmarkEnd w:id="0"/>
      <w:r>
        <w:rPr>
          <w:rFonts w:hint="eastAsia" w:ascii="方正仿宋_GBK" w:eastAsia="方正仿宋_GBK"/>
          <w:sz w:val="32"/>
          <w:szCs w:val="32"/>
        </w:rPr>
        <w:t xml:space="preserve">督查，并对督查情况进行通报。 </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附件：忠县再生资源回收网点安全生产排查表</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 xml:space="preserve"> </w:t>
      </w:r>
    </w:p>
    <w:p>
      <w:pPr>
        <w:spacing w:line="600" w:lineRule="exact"/>
        <w:ind w:firstLine="640" w:firstLineChars="200"/>
        <w:rPr>
          <w:rFonts w:ascii="Times New Roman" w:hAnsi="Times New Roman" w:eastAsia="方正仿宋_GBK" w:cs="Times New Roman"/>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 xml:space="preserve">        忠县商务委员会</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2022年1月26日</w:t>
      </w:r>
    </w:p>
    <w:p>
      <w:pPr>
        <w:pStyle w:val="2"/>
      </w:pPr>
    </w:p>
    <w:p>
      <w:pPr>
        <w:pStyle w:val="2"/>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pPr>
    </w:p>
    <w:tbl>
      <w:tblPr>
        <w:tblStyle w:val="10"/>
        <w:tblW w:w="12915" w:type="dxa"/>
        <w:tblInd w:w="93" w:type="dxa"/>
        <w:tblLayout w:type="autofit"/>
        <w:tblCellMar>
          <w:top w:w="0" w:type="dxa"/>
          <w:left w:w="108" w:type="dxa"/>
          <w:bottom w:w="0" w:type="dxa"/>
          <w:right w:w="108" w:type="dxa"/>
        </w:tblCellMar>
      </w:tblPr>
      <w:tblGrid>
        <w:gridCol w:w="582"/>
        <w:gridCol w:w="709"/>
        <w:gridCol w:w="851"/>
        <w:gridCol w:w="1559"/>
        <w:gridCol w:w="850"/>
        <w:gridCol w:w="1134"/>
        <w:gridCol w:w="1276"/>
        <w:gridCol w:w="1276"/>
        <w:gridCol w:w="1276"/>
        <w:gridCol w:w="850"/>
        <w:gridCol w:w="992"/>
        <w:gridCol w:w="851"/>
        <w:gridCol w:w="709"/>
      </w:tblGrid>
      <w:tr>
        <w:tblPrEx>
          <w:tblCellMar>
            <w:top w:w="0" w:type="dxa"/>
            <w:left w:w="108" w:type="dxa"/>
            <w:bottom w:w="0" w:type="dxa"/>
            <w:right w:w="108" w:type="dxa"/>
          </w:tblCellMar>
        </w:tblPrEx>
        <w:trPr>
          <w:trHeight w:val="510" w:hRule="atLeast"/>
        </w:trPr>
        <w:tc>
          <w:tcPr>
            <w:tcW w:w="12915" w:type="dxa"/>
            <w:gridSpan w:val="13"/>
            <w:tcBorders>
              <w:top w:val="nil"/>
              <w:left w:val="nil"/>
              <w:bottom w:val="nil"/>
              <w:right w:val="nil"/>
            </w:tcBorders>
            <w:shd w:val="clear" w:color="auto" w:fill="auto"/>
            <w:noWrap/>
            <w:vAlign w:val="center"/>
          </w:tcPr>
          <w:p>
            <w:pPr>
              <w:widowControl/>
              <w:jc w:val="center"/>
              <w:rPr>
                <w:rFonts w:hint="eastAsia" w:ascii="方正黑体_GBK" w:hAnsi="宋体" w:eastAsia="方正黑体_GBK" w:cs="宋体"/>
                <w:color w:val="000000"/>
                <w:kern w:val="0"/>
                <w:sz w:val="36"/>
                <w:szCs w:val="36"/>
              </w:rPr>
            </w:pPr>
          </w:p>
          <w:p>
            <w:pPr>
              <w:widowControl/>
              <w:jc w:val="center"/>
              <w:rPr>
                <w:rFonts w:ascii="方正黑体_GBK" w:hAnsi="宋体" w:eastAsia="方正黑体_GBK" w:cs="宋体"/>
                <w:color w:val="000000"/>
                <w:kern w:val="0"/>
                <w:sz w:val="36"/>
                <w:szCs w:val="36"/>
              </w:rPr>
            </w:pPr>
            <w:r>
              <w:rPr>
                <w:rFonts w:hint="eastAsia" w:ascii="方正黑体_GBK" w:hAnsi="宋体" w:eastAsia="方正黑体_GBK" w:cs="宋体"/>
                <w:color w:val="000000"/>
                <w:kern w:val="0"/>
                <w:sz w:val="36"/>
                <w:szCs w:val="36"/>
              </w:rPr>
              <w:t>忠县再生资源回收网点安全生产排查表</w:t>
            </w:r>
          </w:p>
        </w:tc>
      </w:tr>
      <w:tr>
        <w:tblPrEx>
          <w:tblCellMar>
            <w:top w:w="0" w:type="dxa"/>
            <w:left w:w="108" w:type="dxa"/>
            <w:bottom w:w="0" w:type="dxa"/>
            <w:right w:w="108" w:type="dxa"/>
          </w:tblCellMar>
        </w:tblPrEx>
        <w:trPr>
          <w:trHeight w:val="42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再生资源网点名称</w:t>
            </w:r>
          </w:p>
        </w:tc>
        <w:tc>
          <w:tcPr>
            <w:tcW w:w="9213" w:type="dxa"/>
            <w:gridSpan w:val="8"/>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存在问题</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已采取措施</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840" w:hRule="atLeast"/>
        </w:trPr>
        <w:tc>
          <w:tcPr>
            <w:tcW w:w="58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乡镇（街道）</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证件问题：无证或经营地址不一致等</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消防隐患</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超许可范围经营</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非法处置密闭气罐</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非法回收有毒有害物品或造成油污污染</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未按规定进行再生资源回收从业备案</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非法回收偷盗物品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w:t>
            </w: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0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8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2915" w:type="dxa"/>
            <w:gridSpan w:val="13"/>
            <w:vMerge w:val="restart"/>
            <w:tcBorders>
              <w:top w:val="single" w:color="auto" w:sz="4" w:space="0"/>
              <w:left w:val="nil"/>
              <w:bottom w:val="nil"/>
              <w:right w:val="nil"/>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填表说明：1、如再生资源回收网点存在违章建筑、占道经营、脏乱差等影响市容市貌行为，各乡镇/街道自行依法查处和清理整顿，不必上报。2、填写存在问题应详细具体。3、每月15日前电子档传商务委流通科韩志英处。QQ群：960526034联系电话：18723615456</w:t>
            </w:r>
          </w:p>
        </w:tc>
      </w:tr>
      <w:tr>
        <w:tblPrEx>
          <w:tblCellMar>
            <w:top w:w="0" w:type="dxa"/>
            <w:left w:w="108" w:type="dxa"/>
            <w:bottom w:w="0" w:type="dxa"/>
            <w:right w:w="108" w:type="dxa"/>
          </w:tblCellMar>
        </w:tblPrEx>
        <w:trPr>
          <w:trHeight w:val="321" w:hRule="atLeast"/>
        </w:trPr>
        <w:tc>
          <w:tcPr>
            <w:tcW w:w="12915" w:type="dxa"/>
            <w:gridSpan w:val="13"/>
            <w:vMerge w:val="continue"/>
            <w:tcBorders>
              <w:top w:val="single" w:color="auto" w:sz="4" w:space="0"/>
              <w:left w:val="nil"/>
              <w:bottom w:val="nil"/>
              <w:right w:val="nil"/>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2915" w:type="dxa"/>
            <w:gridSpan w:val="13"/>
            <w:vMerge w:val="continue"/>
            <w:tcBorders>
              <w:top w:val="single" w:color="auto" w:sz="4" w:space="0"/>
              <w:left w:val="nil"/>
              <w:bottom w:val="nil"/>
              <w:right w:val="nil"/>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2915" w:type="dxa"/>
            <w:gridSpan w:val="13"/>
            <w:vMerge w:val="continue"/>
            <w:tcBorders>
              <w:top w:val="single" w:color="auto" w:sz="4" w:space="0"/>
              <w:left w:val="nil"/>
              <w:bottom w:val="nil"/>
              <w:right w:val="nil"/>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2915" w:type="dxa"/>
            <w:gridSpan w:val="13"/>
            <w:vMerge w:val="continue"/>
            <w:tcBorders>
              <w:top w:val="single" w:color="auto" w:sz="4" w:space="0"/>
              <w:left w:val="nil"/>
              <w:bottom w:val="nil"/>
              <w:right w:val="nil"/>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1" w:hRule="atLeast"/>
        </w:trPr>
        <w:tc>
          <w:tcPr>
            <w:tcW w:w="12915" w:type="dxa"/>
            <w:gridSpan w:val="13"/>
            <w:vMerge w:val="continue"/>
            <w:tcBorders>
              <w:top w:val="single" w:color="auto" w:sz="4" w:space="0"/>
              <w:left w:val="nil"/>
              <w:bottom w:val="nil"/>
              <w:right w:val="nil"/>
            </w:tcBorders>
            <w:vAlign w:val="center"/>
          </w:tcPr>
          <w:p>
            <w:pPr>
              <w:widowControl/>
              <w:jc w:val="center"/>
              <w:rPr>
                <w:rFonts w:ascii="宋体" w:hAnsi="宋体" w:cs="宋体"/>
                <w:color w:val="000000"/>
                <w:kern w:val="0"/>
                <w:sz w:val="22"/>
                <w:szCs w:val="22"/>
              </w:rPr>
            </w:pPr>
          </w:p>
        </w:tc>
      </w:tr>
    </w:tbl>
    <w:p>
      <w:pPr>
        <w:pStyle w:val="2"/>
      </w:pPr>
    </w:p>
    <w:sectPr>
      <w:pgSz w:w="16838" w:h="11906" w:orient="landscape"/>
      <w:pgMar w:top="1474" w:right="1848" w:bottom="1474" w:left="1848"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spacing w:beforeLines="100"/>
      <w:jc w:val="right"/>
      <w:rPr>
        <w:rFonts w:ascii="宋体" w:hAnsi="宋体" w:eastAsia="宋体" w:cs="宋体"/>
        <w:b/>
        <w:bCs/>
        <w:color w:val="005192"/>
        <w:sz w:val="28"/>
        <w:szCs w:val="44"/>
      </w:rPr>
    </w:pPr>
    <w:r>
      <w:rPr>
        <w:color w:val="FAFAFA"/>
        <w:sz w:val="32"/>
      </w:rPr>
      <w:pict>
        <v:line id="_x0000_s1028" o:spid="_x0000_s1028" o:spt="20" style="position:absolute;left:0pt;margin-left:2.15pt;margin-top:6.6pt;height:0.15pt;width:442.25pt;z-index:251660288;mso-width-relative:page;mso-height-relative:page;"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path arrowok="t"/>
          <v:fill focussize="0,0"/>
          <v:stroke weight="1.75pt" color="#005192" joinstyle="miter"/>
          <v:imagedata o:title=""/>
          <o:lock v:ext="edit"/>
        </v:line>
      </w:pict>
    </w:r>
    <w:r>
      <w:rPr>
        <w:sz w:val="32"/>
      </w:rPr>
      <w:pict>
        <v:shape id="_x0000_s1027" o:spid="_x0000_s1027"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snapToGrid w:val="0"/>
                  <w:rPr>
                    <w:sz w:val="1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w:r>
    <w:r>
      <w:rPr>
        <w:rFonts w:hint="eastAsia" w:ascii="宋体" w:hAnsi="宋体" w:eastAsia="宋体" w:cs="宋体"/>
        <w:b/>
        <w:bCs/>
        <w:color w:val="005192"/>
        <w:sz w:val="28"/>
        <w:szCs w:val="44"/>
      </w:rPr>
      <w:t xml:space="preserve">忠县商务委员会发布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p>
    <w:pPr>
      <w:pStyle w:val="8"/>
      <w:textAlignment w:val="center"/>
    </w:pPr>
    <w:r>
      <w:rPr>
        <w:rFonts w:ascii="方正仿宋_GBK" w:hAnsi="方正仿宋_GBK" w:eastAsia="方正仿宋_GBK" w:cs="方正仿宋_GBK"/>
        <w:b/>
        <w:bCs/>
        <w:color w:val="000000" w:themeColor="text1"/>
        <w:sz w:val="32"/>
      </w:rPr>
      <w:pict>
        <v:line id="_x0000_s1026" o:spid="_x0000_s1026" o:spt="20" style="position:absolute;left:0pt;margin-left:0pt;margin-top:32.05pt;height:0pt;width:442.55pt;z-index:251659264;mso-width-relative:page;mso-height-relative:page;"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忠县商务委员会行政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jNDE3ZTAyMDM0NmQyZDQ4YmRjY2QyYTJiNmM3OTcifQ=="/>
  </w:docVars>
  <w:rsids>
    <w:rsidRoot w:val="3C7E06D4"/>
    <w:rsid w:val="000B22C0"/>
    <w:rsid w:val="000B7F71"/>
    <w:rsid w:val="0030589E"/>
    <w:rsid w:val="005C3CD3"/>
    <w:rsid w:val="005D64A4"/>
    <w:rsid w:val="00675B50"/>
    <w:rsid w:val="006C667A"/>
    <w:rsid w:val="00745FB9"/>
    <w:rsid w:val="0092008F"/>
    <w:rsid w:val="009806E8"/>
    <w:rsid w:val="00C11F03"/>
    <w:rsid w:val="00CE3420"/>
    <w:rsid w:val="00D923B7"/>
    <w:rsid w:val="00FC3C80"/>
    <w:rsid w:val="06AB1BDE"/>
    <w:rsid w:val="08990786"/>
    <w:rsid w:val="0E0802A4"/>
    <w:rsid w:val="13C06F2A"/>
    <w:rsid w:val="149A3C1F"/>
    <w:rsid w:val="174C7453"/>
    <w:rsid w:val="17982698"/>
    <w:rsid w:val="18023FB5"/>
    <w:rsid w:val="1E6C03DB"/>
    <w:rsid w:val="1E7554E1"/>
    <w:rsid w:val="210C7C53"/>
    <w:rsid w:val="218A04D8"/>
    <w:rsid w:val="265D1DDA"/>
    <w:rsid w:val="29FB0417"/>
    <w:rsid w:val="339E0BDF"/>
    <w:rsid w:val="344A6670"/>
    <w:rsid w:val="34AB35B3"/>
    <w:rsid w:val="37F0752F"/>
    <w:rsid w:val="3A2D4A6A"/>
    <w:rsid w:val="3C7E06D4"/>
    <w:rsid w:val="3DFC4E7F"/>
    <w:rsid w:val="44112358"/>
    <w:rsid w:val="46DA7D28"/>
    <w:rsid w:val="48793076"/>
    <w:rsid w:val="506D39BB"/>
    <w:rsid w:val="516539BA"/>
    <w:rsid w:val="59CB10DD"/>
    <w:rsid w:val="5E841515"/>
    <w:rsid w:val="608A0CED"/>
    <w:rsid w:val="65362175"/>
    <w:rsid w:val="6C286319"/>
    <w:rsid w:val="6FCA1E38"/>
    <w:rsid w:val="79773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5">
    <w:name w:val="annotation text"/>
    <w:basedOn w:val="1"/>
    <w:link w:val="14"/>
    <w:qFormat/>
    <w:uiPriority w:val="0"/>
    <w:pPr>
      <w:jc w:val="left"/>
    </w:pPr>
  </w:style>
  <w:style w:type="paragraph" w:styleId="6">
    <w:name w:val="Date"/>
    <w:basedOn w:val="1"/>
    <w:next w:val="1"/>
    <w:link w:val="16"/>
    <w:uiPriority w:val="0"/>
    <w:pPr>
      <w:ind w:left="100" w:leftChars="2500"/>
    </w:pPr>
  </w:style>
  <w:style w:type="paragraph" w:styleId="7">
    <w:name w:val="Balloon Text"/>
    <w:basedOn w:val="1"/>
    <w:link w:val="13"/>
    <w:qFormat/>
    <w:uiPriority w:val="0"/>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13">
    <w:name w:val="批注框文本 Char"/>
    <w:basedOn w:val="11"/>
    <w:link w:val="7"/>
    <w:uiPriority w:val="0"/>
    <w:rPr>
      <w:rFonts w:asciiTheme="minorHAnsi" w:hAnsiTheme="minorHAnsi" w:eastAsiaTheme="minorEastAsia" w:cstheme="minorBidi"/>
      <w:kern w:val="2"/>
      <w:sz w:val="18"/>
      <w:szCs w:val="18"/>
    </w:rPr>
  </w:style>
  <w:style w:type="character" w:customStyle="1" w:styleId="14">
    <w:name w:val="批注文字 Char"/>
    <w:basedOn w:val="11"/>
    <w:link w:val="5"/>
    <w:uiPriority w:val="0"/>
    <w:rPr>
      <w:rFonts w:asciiTheme="minorHAnsi" w:hAnsiTheme="minorHAnsi" w:eastAsiaTheme="minorEastAsia" w:cstheme="minorBidi"/>
      <w:kern w:val="2"/>
      <w:sz w:val="21"/>
      <w:szCs w:val="24"/>
    </w:rPr>
  </w:style>
  <w:style w:type="character" w:customStyle="1" w:styleId="15">
    <w:name w:val="标题 1 Char"/>
    <w:basedOn w:val="11"/>
    <w:link w:val="3"/>
    <w:uiPriority w:val="0"/>
    <w:rPr>
      <w:rFonts w:ascii="Calibri" w:hAnsi="Calibri"/>
      <w:b/>
      <w:bCs/>
      <w:kern w:val="44"/>
      <w:sz w:val="44"/>
      <w:szCs w:val="44"/>
    </w:rPr>
  </w:style>
  <w:style w:type="character" w:customStyle="1" w:styleId="16">
    <w:name w:val="日期 Char"/>
    <w:basedOn w:val="11"/>
    <w:link w:val="6"/>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sfj</Company>
  <Pages>3</Pages>
  <Words>968</Words>
  <Characters>222</Characters>
  <Lines>1</Lines>
  <Paragraphs>2</Paragraphs>
  <TotalTime>16</TotalTime>
  <ScaleCrop>false</ScaleCrop>
  <LinksUpToDate>false</LinksUpToDate>
  <CharactersWithSpaces>1188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2023-11-29T06:21:16Z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3FC7F4809DA54A1791408B0D451A0886</vt:lpwstr>
  </property>
</Properties>
</file>