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Calibri" w:hAnsi="Calibri" w:eastAsia="方正小标宋_GBK" w:cs="宋体"/>
          <w:b w:val="0"/>
          <w:bCs w:val="0"/>
          <w:i w:val="0"/>
          <w:iCs w:val="0"/>
          <w:color w:val="auto"/>
          <w:kern w:val="2"/>
          <w:sz w:val="44"/>
          <w:szCs w:val="44"/>
          <w:highlight w:val="none"/>
          <w:vertAlign w:val="baseline"/>
          <w:lang w:val="en-US" w:eastAsia="zh-CN" w:bidi="ar-SA"/>
        </w:rPr>
      </w:pPr>
      <w:bookmarkStart w:id="0" w:name="标题"/>
      <w:bookmarkEnd w:id="0"/>
      <w:bookmarkStart w:id="1" w:name="文号"/>
      <w:bookmarkEnd w:id="1"/>
      <w:bookmarkStart w:id="2" w:name="_Toc27384_WPSOffice_Level1"/>
      <w:bookmarkStart w:id="3" w:name="_Toc864_WPSOffice_Level1"/>
      <w:bookmarkStart w:id="4" w:name="_Toc13014"/>
      <w:bookmarkStart w:id="5" w:name="_Ref416425829"/>
      <w:bookmarkStart w:id="6" w:name="_Toc416785272"/>
      <w:r>
        <w:rPr>
          <w:rFonts w:hint="default" w:ascii="Calibri" w:hAnsi="Calibri" w:eastAsia="方正小标宋_GBK" w:cs="宋体"/>
          <w:b w:val="0"/>
          <w:bCs w:val="0"/>
          <w:i w:val="0"/>
          <w:iCs w:val="0"/>
          <w:color w:val="auto"/>
          <w:kern w:val="2"/>
          <w:sz w:val="44"/>
          <w:szCs w:val="44"/>
          <w:highlight w:val="none"/>
          <w:vertAlign w:val="baseline"/>
          <w:lang w:val="en-US" w:eastAsia="zh-CN" w:bidi="ar-SA"/>
        </w:rPr>
        <w:t>重庆市企业统计信用管理办法</w:t>
      </w:r>
    </w:p>
    <w:p>
      <w:pPr>
        <w:shd w:val="clear" w:color="auto" w:fill="FFFFFF"/>
        <w:spacing w:line="600" w:lineRule="exact"/>
        <w:jc w:val="center"/>
        <w:rPr>
          <w:rFonts w:hint="eastAsia" w:ascii="黑体" w:hAnsi="黑体" w:eastAsia="黑体" w:cs="黑体"/>
          <w:color w:val="000000"/>
          <w:kern w:val="0"/>
          <w:sz w:val="32"/>
          <w:szCs w:val="32"/>
        </w:rPr>
      </w:pPr>
    </w:p>
    <w:p>
      <w:pPr>
        <w:shd w:val="clear" w:color="auto" w:fill="FFFFFF"/>
        <w:spacing w:line="600" w:lineRule="exact"/>
        <w:jc w:val="cente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一</w:t>
      </w:r>
      <w:r>
        <w:rPr>
          <w:rFonts w:hint="eastAsia" w:ascii="黑体" w:hAnsi="黑体" w:eastAsia="黑体" w:cs="黑体"/>
          <w:color w:val="000000"/>
          <w:kern w:val="0"/>
          <w:sz w:val="32"/>
          <w:szCs w:val="32"/>
        </w:rPr>
        <w:t>章　</w:t>
      </w:r>
      <w:r>
        <w:rPr>
          <w:rFonts w:hint="eastAsia" w:ascii="黑体" w:hAnsi="黑体" w:eastAsia="黑体" w:cs="黑体"/>
          <w:color w:val="000000"/>
          <w:kern w:val="0"/>
          <w:sz w:val="32"/>
          <w:szCs w:val="32"/>
          <w:lang w:eastAsia="zh-CN"/>
        </w:rPr>
        <w:t>总</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lang w:eastAsia="zh-CN"/>
        </w:rPr>
        <w:t>则</w:t>
      </w:r>
    </w:p>
    <w:p>
      <w:pPr>
        <w:spacing w:line="600" w:lineRule="exact"/>
        <w:ind w:firstLine="420" w:firstLineChars="200"/>
        <w:jc w:val="both"/>
      </w:pPr>
    </w:p>
    <w:p>
      <w:pPr>
        <w:spacing w:line="600" w:lineRule="exact"/>
        <w:ind w:firstLine="640" w:firstLineChars="20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第一条</w:t>
      </w:r>
      <w:r>
        <w:rPr>
          <w:rFonts w:hint="default" w:ascii="Calibri" w:hAnsi="Calibri" w:eastAsia="方正仿宋_GBK" w:cs="宋体"/>
          <w:b w:val="0"/>
          <w:bCs w:val="0"/>
          <w:i w:val="0"/>
          <w:iCs w:val="0"/>
          <w:color w:val="auto"/>
          <w:kern w:val="2"/>
          <w:sz w:val="32"/>
          <w:szCs w:val="32"/>
          <w:highlight w:val="none"/>
          <w:vertAlign w:val="baseline"/>
          <w:lang w:val="en-US" w:eastAsia="zh-CN" w:bidi="ar-SA"/>
        </w:rPr>
        <w:t xml:space="preserve">  </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为推进统计领域信用建设，规范企业统计信用管理，按照党中央、国务院关于推进诚信建设、完善失信约束决策部署，根据《中华人民共和国统计法》《中华人民共和国行政处罚法》《中华人民共和国统计法实施条例》《统计严重失信企业信用管理办法》《重庆市社会信用条例》《重庆市统计管理条例》，结合工作实际，制定本办法。</w:t>
      </w:r>
    </w:p>
    <w:p>
      <w:pPr>
        <w:widowControl/>
        <w:shd w:val="clear" w:color="FFFFFF" w:fill="FFFFFF"/>
        <w:spacing w:line="600" w:lineRule="exact"/>
        <w:ind w:firstLine="640" w:firstLineChars="20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第二条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本办法适用于本市行政区域内，统计机构对企业信用信息的归集、</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认定</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、共享、公开、惩戒和信用修复等活动。</w:t>
      </w:r>
    </w:p>
    <w:p>
      <w:pPr>
        <w:widowControl/>
        <w:shd w:val="clear" w:color="FFFFFF" w:fill="FFFFFF"/>
        <w:spacing w:line="600" w:lineRule="exact"/>
        <w:ind w:firstLine="640" w:firstLineChars="2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本办法所称统计机构，是指</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重庆市统计局</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及各</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区县（自治县）人民政府</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统计机构。</w:t>
      </w:r>
    </w:p>
    <w:p>
      <w:pPr>
        <w:widowControl/>
        <w:shd w:val="clear" w:color="FFFFFF" w:fill="FFFFFF"/>
        <w:spacing w:line="600" w:lineRule="exact"/>
        <w:ind w:firstLine="640" w:firstLineChars="2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本办法所称企业，是指承担法定的政府统计资料报送义务的企业。</w:t>
      </w:r>
    </w:p>
    <w:p>
      <w:pPr>
        <w:shd w:val="clear" w:color="FFFFFF" w:fill="FFFFFF"/>
        <w:spacing w:line="600" w:lineRule="exact"/>
        <w:ind w:firstLine="64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第三条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企业统计信用管理坚持“谁认定、谁管理、谁负责”的原则，按照依法依规、保护权益、审慎适度的总体思路组织实施。</w:t>
      </w:r>
    </w:p>
    <w:p>
      <w:pPr>
        <w:shd w:val="clear" w:color="FFFFFF" w:fill="FFFFFF"/>
        <w:spacing w:line="600" w:lineRule="exact"/>
        <w:ind w:firstLine="640" w:firstLineChars="20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第四条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重庆市统计局</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负责统一组织、规范、监督和指导全市企业统计信用管理工作。</w:t>
      </w:r>
    </w:p>
    <w:p>
      <w:pPr>
        <w:shd w:val="clear" w:color="FFFFFF" w:fill="FFFFFF"/>
        <w:spacing w:line="600" w:lineRule="exact"/>
        <w:ind w:firstLine="640" w:firstLineChars="200"/>
        <w:jc w:val="both"/>
      </w:pP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区县（自治县）人民政府</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统计机构按照本办法以及</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重庆市统计局</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的部署，负责本行政区域内企业统计信用管理工作。</w:t>
      </w:r>
    </w:p>
    <w:p>
      <w:pPr>
        <w:shd w:val="clear" w:color="FFFFFF" w:fill="FFFFFF"/>
        <w:spacing w:line="600" w:lineRule="exact"/>
        <w:ind w:firstLine="640" w:firstLineChars="200"/>
        <w:jc w:val="both"/>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重庆市及各</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区县（自治县）人民政府</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有关部门对其组织实施的统计调查活动中发现的统计失信行为线索，应当移送同级人民政府统计机构依法处理。</w:t>
      </w:r>
    </w:p>
    <w:p>
      <w:pPr>
        <w:pStyle w:val="2"/>
        <w:rPr>
          <w:rFonts w:hint="default"/>
          <w:lang w:val="en-US" w:eastAsia="zh-CN"/>
        </w:rPr>
      </w:pPr>
    </w:p>
    <w:p>
      <w:pPr>
        <w:shd w:val="clear" w:color="auto" w:fill="FFFFFF"/>
        <w:spacing w:line="60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第二章　</w:t>
      </w:r>
      <w:r>
        <w:rPr>
          <w:rFonts w:hint="eastAsia" w:ascii="黑体" w:hAnsi="黑体" w:eastAsia="黑体" w:cs="黑体"/>
          <w:color w:val="000000"/>
          <w:kern w:val="0"/>
          <w:sz w:val="32"/>
          <w:szCs w:val="32"/>
          <w:lang w:eastAsia="zh-CN"/>
        </w:rPr>
        <w:t>信用分级评价和结果运用</w:t>
      </w:r>
    </w:p>
    <w:p>
      <w:pPr>
        <w:shd w:val="clear" w:color="FFFFFF" w:fill="FFFFFF"/>
        <w:spacing w:line="600" w:lineRule="exact"/>
        <w:ind w:firstLine="640" w:firstLineChars="200"/>
        <w:jc w:val="both"/>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shd w:val="clear" w:color="FFFFFF" w:fill="FFFFFF"/>
        <w:spacing w:line="600" w:lineRule="exact"/>
        <w:ind w:firstLine="640" w:firstLineChars="200"/>
        <w:jc w:val="both"/>
      </w:pPr>
      <w:r>
        <w:rPr>
          <w:rFonts w:hint="default" w:ascii="黑体" w:hAnsi="黑体" w:eastAsia="黑体" w:cs="仿宋_GB2312"/>
          <w:b w:val="0"/>
          <w:bCs w:val="0"/>
          <w:i w:val="0"/>
          <w:iCs w:val="0"/>
          <w:color w:val="000000"/>
          <w:kern w:val="0"/>
          <w:sz w:val="32"/>
          <w:szCs w:val="32"/>
          <w:highlight w:val="none"/>
          <w:vertAlign w:val="baseline"/>
          <w:lang w:val="en-US" w:eastAsia="zh-CN" w:bidi="ar-SA"/>
        </w:rPr>
        <w:t>第</w:t>
      </w:r>
      <w:r>
        <w:rPr>
          <w:rFonts w:hint="eastAsia" w:ascii="黑体" w:hAnsi="黑体" w:eastAsia="黑体" w:cs="仿宋_GB2312"/>
          <w:b w:val="0"/>
          <w:bCs w:val="0"/>
          <w:i w:val="0"/>
          <w:iCs w:val="0"/>
          <w:color w:val="000000"/>
          <w:kern w:val="0"/>
          <w:sz w:val="32"/>
          <w:szCs w:val="32"/>
          <w:highlight w:val="none"/>
          <w:vertAlign w:val="baseline"/>
          <w:lang w:val="en-US" w:eastAsia="zh-CN" w:bidi="ar-SA"/>
        </w:rPr>
        <w:t>五</w:t>
      </w:r>
      <w:r>
        <w:rPr>
          <w:rFonts w:hint="default" w:ascii="黑体" w:hAnsi="黑体" w:eastAsia="黑体" w:cs="仿宋_GB2312"/>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企业统计信用评价等级分为统计诚信企业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A级</w:t>
      </w:r>
      <w:r>
        <w:rPr>
          <w:rFonts w:hint="default" w:ascii="Times New Roman" w:hAnsi="Times New Roman" w:eastAsia="方正仿宋_GBK" w:cs="Times New Roman"/>
          <w:color w:val="auto"/>
          <w:sz w:val="32"/>
          <w:szCs w:val="32"/>
          <w:highlight w:val="none"/>
          <w:lang w:eastAsia="zh-CN"/>
        </w:rPr>
        <w:t>）</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、统计信用异常企业</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B</w:t>
      </w:r>
      <w:r>
        <w:rPr>
          <w:rFonts w:hint="default" w:ascii="Times New Roman" w:hAnsi="Times New Roman" w:eastAsia="方正仿宋_GBK" w:cs="Times New Roman"/>
          <w:color w:val="auto"/>
          <w:sz w:val="32"/>
          <w:szCs w:val="32"/>
          <w:highlight w:val="none"/>
          <w:lang w:val="en-US" w:eastAsia="zh-CN"/>
        </w:rPr>
        <w:t>级</w:t>
      </w:r>
      <w:r>
        <w:rPr>
          <w:rFonts w:hint="default" w:ascii="Times New Roman" w:hAnsi="Times New Roman" w:eastAsia="方正仿宋_GBK" w:cs="Times New Roman"/>
          <w:color w:val="auto"/>
          <w:sz w:val="32"/>
          <w:szCs w:val="32"/>
          <w:highlight w:val="none"/>
          <w:lang w:eastAsia="zh-CN"/>
        </w:rPr>
        <w:t>）</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、统计一般失信企业</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C</w:t>
      </w:r>
      <w:r>
        <w:rPr>
          <w:rFonts w:hint="default" w:ascii="Times New Roman" w:hAnsi="Times New Roman" w:eastAsia="方正仿宋_GBK" w:cs="Times New Roman"/>
          <w:color w:val="auto"/>
          <w:sz w:val="32"/>
          <w:szCs w:val="32"/>
          <w:highlight w:val="none"/>
          <w:lang w:val="en-US" w:eastAsia="zh-CN"/>
        </w:rPr>
        <w:t>级</w:t>
      </w:r>
      <w:r>
        <w:rPr>
          <w:rFonts w:hint="default" w:ascii="Times New Roman" w:hAnsi="Times New Roman" w:eastAsia="方正仿宋_GBK" w:cs="Times New Roman"/>
          <w:color w:val="auto"/>
          <w:sz w:val="32"/>
          <w:szCs w:val="32"/>
          <w:highlight w:val="none"/>
          <w:lang w:eastAsia="zh-CN"/>
        </w:rPr>
        <w:t>）</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和统计严重失信企业</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D</w:t>
      </w:r>
      <w:r>
        <w:rPr>
          <w:rFonts w:hint="default" w:ascii="Times New Roman" w:hAnsi="Times New Roman" w:eastAsia="方正仿宋_GBK" w:cs="Times New Roman"/>
          <w:color w:val="auto"/>
          <w:sz w:val="32"/>
          <w:szCs w:val="32"/>
          <w:highlight w:val="none"/>
          <w:lang w:val="en-US" w:eastAsia="zh-CN"/>
        </w:rPr>
        <w:t>级</w:t>
      </w:r>
      <w:r>
        <w:rPr>
          <w:rFonts w:hint="default" w:ascii="Times New Roman" w:hAnsi="Times New Roman" w:eastAsia="方正仿宋_GBK" w:cs="Times New Roman"/>
          <w:color w:val="auto"/>
          <w:sz w:val="32"/>
          <w:szCs w:val="32"/>
          <w:highlight w:val="none"/>
          <w:lang w:eastAsia="zh-CN"/>
        </w:rPr>
        <w:t>）</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，实施</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分级</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分类</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和</w:t>
      </w:r>
      <w:bookmarkStart w:id="7" w:name="_GoBack"/>
      <w:bookmarkEnd w:id="7"/>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动态管理。</w:t>
      </w:r>
    </w:p>
    <w:p>
      <w:pPr>
        <w:shd w:val="clear" w:color="FFFFFF" w:fill="FFFFFF"/>
        <w:spacing w:line="600" w:lineRule="exact"/>
        <w:ind w:firstLine="640" w:firstLineChars="200"/>
        <w:jc w:val="left"/>
      </w:pPr>
      <w:r>
        <w:rPr>
          <w:rFonts w:hint="default" w:ascii="黑体" w:hAnsi="黑体" w:eastAsia="黑体" w:cs="仿宋_GB2312"/>
          <w:b w:val="0"/>
          <w:bCs w:val="0"/>
          <w:i w:val="0"/>
          <w:iCs w:val="0"/>
          <w:color w:val="000000"/>
          <w:kern w:val="0"/>
          <w:sz w:val="32"/>
          <w:szCs w:val="32"/>
          <w:highlight w:val="none"/>
          <w:vertAlign w:val="baseline"/>
          <w:lang w:val="en-US" w:eastAsia="zh-CN" w:bidi="ar-SA"/>
        </w:rPr>
        <w:t>第</w:t>
      </w:r>
      <w:r>
        <w:rPr>
          <w:rFonts w:hint="default" w:ascii="黑体" w:hAnsi="黑体" w:eastAsia="黑体" w:cs="仿宋_GB2312"/>
          <w:b w:val="0"/>
          <w:bCs w:val="0"/>
          <w:i w:val="0"/>
          <w:iCs w:val="0"/>
          <w:color w:val="000000"/>
          <w:kern w:val="0"/>
          <w:sz w:val="32"/>
          <w:szCs w:val="32"/>
          <w:highlight w:val="none"/>
          <w:vertAlign w:val="baseline"/>
          <w:lang w:val="en" w:eastAsia="zh-CN" w:bidi="ar-SA"/>
        </w:rPr>
        <w:t>六</w:t>
      </w:r>
      <w:r>
        <w:rPr>
          <w:rFonts w:hint="default" w:ascii="黑体" w:hAnsi="黑体" w:eastAsia="黑体" w:cs="仿宋_GB2312"/>
          <w:b w:val="0"/>
          <w:bCs w:val="0"/>
          <w:i w:val="0"/>
          <w:iCs w:val="0"/>
          <w:color w:val="000000"/>
          <w:kern w:val="0"/>
          <w:sz w:val="32"/>
          <w:szCs w:val="32"/>
          <w:highlight w:val="none"/>
          <w:vertAlign w:val="baseline"/>
          <w:lang w:val="en-US" w:eastAsia="zh-CN" w:bidi="ar-SA"/>
        </w:rPr>
        <w:t xml:space="preserve">条 </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xml:space="preserve"> 企业同时具备下列条件，</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可以认定</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为统计诚信企业：</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（一）为履行法定的统计资料报送义务提供组织、人员和工作条件保障；</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（二）按照国家有关规定设置原始记录、统计台账，建立健全统计资料的审核、签署、交接、归档等管理制度；</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（三）</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严格</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执行统计调查制度，真实、准确、完整、及时地提供统计调查所需资料；</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（四）积极配合统计执法检查</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统计数据核查</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和统计数据查询</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（五）连续两年未被其他部门列入联合惩戒失信名单；</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（六）连续两年未</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发生</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任何违反统计法律法规和统计调查制度的行为。</w:t>
      </w:r>
    </w:p>
    <w:p>
      <w:pPr>
        <w:shd w:val="clear" w:color="FFFFFF" w:fill="FFFFFF"/>
        <w:spacing w:line="600" w:lineRule="exact"/>
        <w:ind w:firstLine="640" w:firstLineChars="200"/>
        <w:jc w:val="left"/>
      </w:pPr>
      <w:r>
        <w:rPr>
          <w:rFonts w:hint="default" w:ascii="黑体" w:hAnsi="黑体" w:eastAsia="黑体" w:cs="仿宋_GB2312"/>
          <w:b w:val="0"/>
          <w:bCs w:val="0"/>
          <w:i w:val="0"/>
          <w:iCs w:val="0"/>
          <w:color w:val="000000"/>
          <w:kern w:val="0"/>
          <w:sz w:val="32"/>
          <w:szCs w:val="32"/>
          <w:highlight w:val="none"/>
          <w:vertAlign w:val="baseline"/>
          <w:lang w:val="en-US" w:eastAsia="zh-CN" w:bidi="ar-SA"/>
        </w:rPr>
        <w:t>第</w:t>
      </w:r>
      <w:r>
        <w:rPr>
          <w:rFonts w:hint="default" w:ascii="黑体" w:hAnsi="黑体" w:eastAsia="黑体" w:cs="仿宋_GB2312"/>
          <w:b w:val="0"/>
          <w:bCs w:val="0"/>
          <w:i w:val="0"/>
          <w:iCs w:val="0"/>
          <w:color w:val="000000"/>
          <w:kern w:val="0"/>
          <w:sz w:val="32"/>
          <w:szCs w:val="32"/>
          <w:highlight w:val="none"/>
          <w:vertAlign w:val="baseline"/>
          <w:lang w:val="en" w:eastAsia="zh-CN" w:bidi="ar-SA"/>
        </w:rPr>
        <w:t>七</w:t>
      </w:r>
      <w:r>
        <w:rPr>
          <w:rFonts w:hint="default" w:ascii="黑体" w:hAnsi="黑体" w:eastAsia="黑体" w:cs="仿宋_GB2312"/>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xml:space="preserve">  企业有下列情形之一，</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可以认定为</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统计信用异常企业：</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（一）未按照法定的统计资料报送义务提供组织、人员和工作条件保障；</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（二）未按照国家有关规定设置原始记录、统计台账，未建立健全统计资料的审核、签署、交接、归档等管理制度；</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（三）一年内迟报统计资料</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一</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次；</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（四）统计资料报送异常且不能做出合理解释；</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（五）通过登记的住所或者经营场所无法联系。</w:t>
      </w:r>
    </w:p>
    <w:p>
      <w:pPr>
        <w:shd w:val="clear" w:color="FFFFFF" w:fill="FFFFFF"/>
        <w:spacing w:line="600" w:lineRule="exact"/>
        <w:ind w:firstLine="640" w:firstLineChars="200"/>
        <w:jc w:val="left"/>
      </w:pPr>
      <w:r>
        <w:rPr>
          <w:rFonts w:hint="default" w:ascii="黑体" w:hAnsi="黑体" w:eastAsia="黑体" w:cs="仿宋_GB2312"/>
          <w:b w:val="0"/>
          <w:bCs w:val="0"/>
          <w:i w:val="0"/>
          <w:iCs w:val="0"/>
          <w:color w:val="000000"/>
          <w:kern w:val="0"/>
          <w:sz w:val="32"/>
          <w:szCs w:val="32"/>
          <w:highlight w:val="none"/>
          <w:vertAlign w:val="baseline"/>
          <w:lang w:val="en-US" w:eastAsia="zh-CN" w:bidi="ar-SA"/>
        </w:rPr>
        <w:t>第</w:t>
      </w:r>
      <w:r>
        <w:rPr>
          <w:rFonts w:hint="default" w:ascii="黑体" w:hAnsi="黑体" w:eastAsia="黑体" w:cs="仿宋_GB2312"/>
          <w:b w:val="0"/>
          <w:bCs w:val="0"/>
          <w:i w:val="0"/>
          <w:iCs w:val="0"/>
          <w:color w:val="000000"/>
          <w:kern w:val="0"/>
          <w:sz w:val="32"/>
          <w:szCs w:val="32"/>
          <w:highlight w:val="none"/>
          <w:vertAlign w:val="baseline"/>
          <w:lang w:val="en" w:eastAsia="zh-CN" w:bidi="ar-SA"/>
        </w:rPr>
        <w:t>八</w:t>
      </w:r>
      <w:r>
        <w:rPr>
          <w:rFonts w:hint="default" w:ascii="黑体" w:hAnsi="黑体" w:eastAsia="黑体" w:cs="仿宋_GB2312"/>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xml:space="preserve">  企业有下列情形之一，</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可以认定</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为统计一般失信企业：</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（一）提供不真实</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或者不完整的统计资料的</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（二）拒绝、阻碍统计调查、统计检查；</w:t>
      </w:r>
    </w:p>
    <w:p>
      <w:pPr>
        <w:shd w:val="clear" w:color="FFFFFF" w:fill="FFFFFF"/>
        <w:spacing w:line="600" w:lineRule="exact"/>
        <w:ind w:firstLine="640" w:firstLineChars="200"/>
        <w:jc w:val="left"/>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（三）一年内迟报统计资料</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两</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次</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及以上</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w:t>
      </w:r>
    </w:p>
    <w:p>
      <w:pPr>
        <w:shd w:val="clear" w:color="FFFFFF" w:fill="FFFFFF"/>
        <w:spacing w:line="600" w:lineRule="exact"/>
        <w:ind w:firstLine="640" w:firstLineChars="200"/>
        <w:jc w:val="left"/>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（四）被统计机构行政处罚后，未</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及时</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按照《企业信息公示暂行条例》自行公示</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w:t>
      </w:r>
    </w:p>
    <w:p>
      <w:pPr>
        <w:shd w:val="clear" w:color="FFFFFF" w:fill="FFFFFF"/>
        <w:spacing w:line="600" w:lineRule="exact"/>
        <w:ind w:firstLine="640" w:firstLineChars="200"/>
        <w:jc w:val="left"/>
        <w:rPr>
          <w:rFonts w:hint="default" w:ascii="仿宋_GB2312" w:hAnsi="仿宋_GB2312" w:eastAsia="仿宋_GB2312" w:cs="仿宋_GB2312"/>
          <w:b w:val="0"/>
          <w:bCs w:val="0"/>
          <w:i w:val="0"/>
          <w:iCs w:val="0"/>
          <w:color w:val="000000"/>
          <w:kern w:val="0"/>
          <w:sz w:val="32"/>
          <w:szCs w:val="32"/>
          <w:highlight w:val="yellow"/>
          <w:vertAlign w:val="baseline"/>
          <w:lang w:val="en-US" w:eastAsia="zh-CN" w:bidi="ar-SA"/>
        </w:rPr>
      </w:pPr>
      <w:r>
        <w:rPr>
          <w:rFonts w:hint="default" w:ascii="黑体" w:hAnsi="黑体" w:eastAsia="黑体" w:cs="仿宋_GB2312"/>
          <w:b w:val="0"/>
          <w:bCs w:val="0"/>
          <w:i w:val="0"/>
          <w:iCs w:val="0"/>
          <w:color w:val="000000"/>
          <w:kern w:val="0"/>
          <w:sz w:val="32"/>
          <w:szCs w:val="32"/>
          <w:highlight w:val="none"/>
          <w:vertAlign w:val="baseline"/>
          <w:lang w:val="en-US" w:eastAsia="zh-CN" w:bidi="ar-SA"/>
        </w:rPr>
        <w:t>第</w:t>
      </w:r>
      <w:r>
        <w:rPr>
          <w:rFonts w:hint="default" w:ascii="黑体" w:hAnsi="黑体" w:eastAsia="黑体" w:cs="仿宋_GB2312"/>
          <w:b w:val="0"/>
          <w:bCs w:val="0"/>
          <w:i w:val="0"/>
          <w:iCs w:val="0"/>
          <w:color w:val="000000"/>
          <w:kern w:val="0"/>
          <w:sz w:val="32"/>
          <w:szCs w:val="32"/>
          <w:highlight w:val="none"/>
          <w:vertAlign w:val="baseline"/>
          <w:lang w:val="en" w:eastAsia="zh-CN" w:bidi="ar-SA"/>
        </w:rPr>
        <w:t>九</w:t>
      </w:r>
      <w:r>
        <w:rPr>
          <w:rFonts w:hint="default" w:ascii="黑体" w:hAnsi="黑体" w:eastAsia="黑体" w:cs="仿宋_GB2312"/>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企业有下列统计违法行为之一，且属于《中华人民共和国统计法实施条例》第五十条所列情节严重的，统计机构应当认定其为统计严重失信企业。</w:t>
      </w:r>
    </w:p>
    <w:p>
      <w:pPr>
        <w:shd w:val="clear" w:color="FFFFFF" w:fill="FFFFFF"/>
        <w:spacing w:line="600" w:lineRule="exact"/>
        <w:ind w:firstLine="640" w:firstLineChars="200"/>
        <w:jc w:val="left"/>
        <w:rPr>
          <w:rFonts w:hint="default" w:ascii="仿宋_GB2312" w:hAnsi="仿宋_GB2312" w:eastAsia="仿宋_GB2312" w:cs="仿宋_GB2312"/>
          <w:b w:val="0"/>
          <w:bCs w:val="0"/>
          <w:i w:val="0"/>
          <w:iCs w:val="0"/>
          <w:color w:val="000000"/>
          <w:kern w:val="0"/>
          <w:sz w:val="32"/>
          <w:szCs w:val="32"/>
          <w:highlight w:val="yellow"/>
          <w:vertAlign w:val="baseline"/>
          <w:lang w:val="en-US" w:eastAsia="zh-CN" w:bidi="ar-SA"/>
        </w:rPr>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rPr>
        <w:t>一）拒绝提供统计资料或者经催报后仍未按时提供统计资料的；</w:t>
      </w:r>
    </w:p>
    <w:p>
      <w:pPr>
        <w:shd w:val="clear" w:color="FFFFFF" w:fill="FFFFFF"/>
        <w:spacing w:line="600" w:lineRule="exact"/>
        <w:ind w:firstLine="640" w:firstLineChars="200"/>
        <w:jc w:val="left"/>
        <w:rPr>
          <w:rFonts w:hint="default" w:ascii="仿宋_GB2312" w:hAnsi="仿宋_GB2312" w:eastAsia="仿宋_GB2312" w:cs="仿宋_GB2312"/>
          <w:b w:val="0"/>
          <w:bCs w:val="0"/>
          <w:i w:val="0"/>
          <w:iCs w:val="0"/>
          <w:color w:val="000000"/>
          <w:kern w:val="0"/>
          <w:sz w:val="32"/>
          <w:szCs w:val="32"/>
          <w:highlight w:val="yellow"/>
          <w:vertAlign w:val="baseline"/>
          <w:lang w:val="en-US" w:eastAsia="zh-CN" w:bidi="ar-SA"/>
        </w:rPr>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rPr>
        <w:t>（二）提供不真实或者不完整的统计资料的；</w:t>
      </w:r>
    </w:p>
    <w:p>
      <w:pPr>
        <w:shd w:val="clear" w:color="FFFFFF" w:fill="FFFFFF"/>
        <w:spacing w:line="600" w:lineRule="exact"/>
        <w:ind w:firstLine="640" w:firstLineChars="200"/>
        <w:jc w:val="left"/>
        <w:rPr>
          <w:rFonts w:hint="default" w:ascii="仿宋_GB2312" w:hAnsi="仿宋_GB2312" w:eastAsia="仿宋_GB2312" w:cs="仿宋_GB2312"/>
          <w:b w:val="0"/>
          <w:bCs w:val="0"/>
          <w:i w:val="0"/>
          <w:iCs w:val="0"/>
          <w:color w:val="000000"/>
          <w:kern w:val="0"/>
          <w:sz w:val="32"/>
          <w:szCs w:val="32"/>
          <w:highlight w:val="yellow"/>
          <w:vertAlign w:val="baseline"/>
          <w:lang w:val="en-US" w:eastAsia="zh-CN" w:bidi="ar-SA"/>
        </w:rPr>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rPr>
        <w:t>（三）拒绝答复或者不如实答复统计检查查询书的；</w:t>
      </w:r>
    </w:p>
    <w:p>
      <w:pPr>
        <w:shd w:val="clear" w:color="FFFFFF" w:fill="FFFFFF"/>
        <w:spacing w:line="600" w:lineRule="exact"/>
        <w:ind w:firstLine="640" w:firstLineChars="200"/>
        <w:jc w:val="left"/>
        <w:rPr>
          <w:rFonts w:hint="default" w:ascii="仿宋_GB2312" w:hAnsi="仿宋_GB2312" w:eastAsia="仿宋_GB2312" w:cs="仿宋_GB2312"/>
          <w:b w:val="0"/>
          <w:bCs w:val="0"/>
          <w:i w:val="0"/>
          <w:iCs w:val="0"/>
          <w:color w:val="000000"/>
          <w:kern w:val="0"/>
          <w:sz w:val="32"/>
          <w:szCs w:val="32"/>
          <w:highlight w:val="yellow"/>
          <w:vertAlign w:val="baseline"/>
          <w:lang w:val="en-US" w:eastAsia="zh-CN" w:bidi="ar-SA"/>
        </w:rPr>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rPr>
        <w:t>（四）拒绝、阻碍统计调查、统计检查的；</w:t>
      </w:r>
    </w:p>
    <w:p>
      <w:pPr>
        <w:shd w:val="clear" w:color="FFFFFF" w:fill="FFFFFF"/>
        <w:spacing w:line="600" w:lineRule="exact"/>
        <w:ind w:firstLine="640" w:firstLineChars="200"/>
        <w:jc w:val="left"/>
        <w:rPr>
          <w:rFonts w:hint="default" w:ascii="仿宋_GB2312" w:hAnsi="仿宋_GB2312" w:eastAsia="仿宋_GB2312" w:cs="仿宋_GB2312"/>
          <w:b w:val="0"/>
          <w:bCs w:val="0"/>
          <w:i w:val="0"/>
          <w:iCs w:val="0"/>
          <w:color w:val="000000"/>
          <w:kern w:val="0"/>
          <w:sz w:val="32"/>
          <w:szCs w:val="32"/>
          <w:highlight w:val="yellow"/>
          <w:vertAlign w:val="baseline"/>
          <w:lang w:val="en-US" w:eastAsia="zh-CN" w:bidi="ar-SA"/>
        </w:rPr>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rPr>
        <w:t>（五）转移、隐匿、篡改、毁弃或者拒绝提供原始记录和凭证、统计台账、统计调查表及其他相关证明和资料的；</w:t>
      </w:r>
    </w:p>
    <w:p>
      <w:pPr>
        <w:shd w:val="clear" w:color="FFFFFF" w:fill="FFFFFF"/>
        <w:spacing w:line="600" w:lineRule="exact"/>
        <w:ind w:firstLine="640" w:firstLineChars="200"/>
        <w:jc w:val="both"/>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（六）其他统计严重失信行为。</w:t>
      </w:r>
    </w:p>
    <w:p>
      <w:pPr>
        <w:shd w:val="clear" w:color="FFFFFF" w:fill="FFFFFF"/>
        <w:spacing w:line="600" w:lineRule="exact"/>
        <w:ind w:firstLine="660"/>
        <w:jc w:val="both"/>
        <w:rPr>
          <w:rFonts w:hint="eastAsia" w:eastAsia="方正仿宋_GBK" w:cs="宋体"/>
          <w:b w:val="0"/>
          <w:bCs w:val="0"/>
          <w:i w:val="0"/>
          <w:iCs w:val="0"/>
          <w:color w:val="auto"/>
          <w:kern w:val="2"/>
          <w:sz w:val="32"/>
          <w:szCs w:val="32"/>
          <w:highlight w:val="none"/>
          <w:vertAlign w:val="baseline"/>
          <w:lang w:val="en" w:eastAsia="zh-CN" w:bidi="ar-SA"/>
        </w:rPr>
      </w:pPr>
      <w:r>
        <w:rPr>
          <w:rFonts w:hint="default" w:ascii="黑体" w:hAnsi="黑体" w:eastAsia="黑体" w:cs="黑体"/>
          <w:b w:val="0"/>
          <w:bCs w:val="0"/>
          <w:i w:val="0"/>
          <w:iCs w:val="0"/>
          <w:color w:val="auto"/>
          <w:kern w:val="0"/>
          <w:sz w:val="32"/>
          <w:szCs w:val="32"/>
          <w:highlight w:val="none"/>
          <w:vertAlign w:val="baseline"/>
          <w:lang w:val="en-US" w:eastAsia="zh-CN" w:bidi="ar-SA"/>
        </w:rPr>
        <w:t>第十条</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　</w:t>
      </w:r>
      <w:r>
        <w:rPr>
          <w:rFonts w:hint="default" w:ascii="仿宋_GB2312" w:hAnsi="仿宋_GB2312" w:eastAsia="仿宋_GB2312" w:cs="仿宋_GB2312"/>
          <w:b w:val="0"/>
          <w:bCs w:val="0"/>
          <w:i w:val="0"/>
          <w:iCs w:val="0"/>
          <w:color w:val="auto"/>
          <w:spacing w:val="-6"/>
          <w:kern w:val="0"/>
          <w:sz w:val="32"/>
          <w:szCs w:val="32"/>
          <w:highlight w:val="none"/>
          <w:vertAlign w:val="baseline"/>
          <w:lang w:val="en-US" w:eastAsia="zh-CN" w:bidi="ar-SA"/>
        </w:rPr>
        <w:t>统计机构</w:t>
      </w:r>
      <w:r>
        <w:rPr>
          <w:rFonts w:hint="default" w:ascii="仿宋_GB2312" w:hAnsi="仿宋_GB2312" w:eastAsia="仿宋_GB2312" w:cs="仿宋_GB2312"/>
          <w:b w:val="0"/>
          <w:bCs w:val="0"/>
          <w:i w:val="0"/>
          <w:iCs w:val="0"/>
          <w:color w:val="auto"/>
          <w:spacing w:val="-6"/>
          <w:kern w:val="0"/>
          <w:sz w:val="32"/>
          <w:szCs w:val="32"/>
          <w:highlight w:val="none"/>
          <w:vertAlign w:val="baseline"/>
          <w:lang w:val="en" w:eastAsia="zh-CN" w:bidi="ar-SA"/>
        </w:rPr>
        <w:t>对符合评价等级为</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统计诚信企业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A级</w:t>
      </w:r>
      <w:r>
        <w:rPr>
          <w:rFonts w:hint="default" w:ascii="Times New Roman" w:hAnsi="Times New Roman" w:eastAsia="方正仿宋_GBK" w:cs="Times New Roman"/>
          <w:color w:val="auto"/>
          <w:sz w:val="32"/>
          <w:szCs w:val="32"/>
          <w:highlight w:val="none"/>
          <w:lang w:eastAsia="zh-CN"/>
        </w:rPr>
        <w:t>）</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、统计信用异常企业</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B</w:t>
      </w:r>
      <w:r>
        <w:rPr>
          <w:rFonts w:hint="default" w:ascii="Times New Roman" w:hAnsi="Times New Roman" w:eastAsia="方正仿宋_GBK" w:cs="Times New Roman"/>
          <w:color w:val="auto"/>
          <w:sz w:val="32"/>
          <w:szCs w:val="32"/>
          <w:highlight w:val="none"/>
          <w:lang w:val="en-US" w:eastAsia="zh-CN"/>
        </w:rPr>
        <w:t>级</w:t>
      </w:r>
      <w:r>
        <w:rPr>
          <w:rFonts w:hint="default" w:ascii="Times New Roman" w:hAnsi="Times New Roman" w:eastAsia="方正仿宋_GBK" w:cs="Times New Roman"/>
          <w:color w:val="auto"/>
          <w:sz w:val="32"/>
          <w:szCs w:val="32"/>
          <w:highlight w:val="none"/>
          <w:lang w:eastAsia="zh-CN"/>
        </w:rPr>
        <w:t>）</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和</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统计一般失信企业</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C</w:t>
      </w:r>
      <w:r>
        <w:rPr>
          <w:rFonts w:hint="default" w:ascii="Times New Roman" w:hAnsi="Times New Roman" w:eastAsia="方正仿宋_GBK" w:cs="Times New Roman"/>
          <w:color w:val="auto"/>
          <w:sz w:val="32"/>
          <w:szCs w:val="32"/>
          <w:highlight w:val="none"/>
          <w:lang w:val="en-US" w:eastAsia="zh-CN"/>
        </w:rPr>
        <w:t>级</w:t>
      </w:r>
      <w:r>
        <w:rPr>
          <w:rFonts w:hint="default" w:ascii="Times New Roman" w:hAnsi="Times New Roman" w:eastAsia="方正仿宋_GBK" w:cs="Times New Roman"/>
          <w:color w:val="auto"/>
          <w:sz w:val="32"/>
          <w:szCs w:val="32"/>
          <w:highlight w:val="none"/>
          <w:lang w:eastAsia="zh-CN"/>
        </w:rPr>
        <w:t>）</w:t>
      </w:r>
      <w:r>
        <w:rPr>
          <w:rFonts w:hint="default" w:ascii="仿宋_GB2312" w:hAnsi="仿宋_GB2312" w:eastAsia="仿宋_GB2312" w:cs="仿宋_GB2312"/>
          <w:b w:val="0"/>
          <w:bCs w:val="0"/>
          <w:i w:val="0"/>
          <w:iCs w:val="0"/>
          <w:color w:val="auto"/>
          <w:spacing w:val="-6"/>
          <w:kern w:val="0"/>
          <w:sz w:val="32"/>
          <w:szCs w:val="32"/>
          <w:highlight w:val="none"/>
          <w:vertAlign w:val="baseline"/>
          <w:lang w:val="en" w:eastAsia="zh-CN" w:bidi="ar-SA"/>
        </w:rPr>
        <w:t>，</w:t>
      </w:r>
      <w:r>
        <w:rPr>
          <w:rFonts w:hint="default" w:ascii="仿宋_GB2312" w:hAnsi="仿宋_GB2312" w:eastAsia="仿宋_GB2312" w:cs="仿宋_GB2312"/>
          <w:b w:val="0"/>
          <w:bCs w:val="0"/>
          <w:i w:val="0"/>
          <w:iCs w:val="0"/>
          <w:color w:val="auto"/>
          <w:spacing w:val="-6"/>
          <w:kern w:val="0"/>
          <w:sz w:val="32"/>
          <w:szCs w:val="32"/>
          <w:highlight w:val="none"/>
          <w:vertAlign w:val="baseline"/>
          <w:lang w:val="en-US" w:eastAsia="zh-CN" w:bidi="ar-SA"/>
        </w:rPr>
        <w:t>应当在该</w:t>
      </w:r>
      <w:r>
        <w:rPr>
          <w:rFonts w:hint="default" w:ascii="仿宋_GB2312" w:hAnsi="仿宋_GB2312" w:eastAsia="仿宋_GB2312" w:cs="仿宋_GB2312"/>
          <w:b w:val="0"/>
          <w:bCs w:val="0"/>
          <w:i w:val="0"/>
          <w:iCs w:val="0"/>
          <w:color w:val="auto"/>
          <w:spacing w:val="-6"/>
          <w:kern w:val="0"/>
          <w:sz w:val="32"/>
          <w:szCs w:val="32"/>
          <w:highlight w:val="none"/>
          <w:vertAlign w:val="baseline"/>
          <w:lang w:val="en" w:eastAsia="zh-CN" w:bidi="ar-SA"/>
        </w:rPr>
        <w:t>企业评价等级认定</w:t>
      </w:r>
      <w:r>
        <w:rPr>
          <w:rFonts w:hint="eastAsia" w:ascii="仿宋_GB2312" w:hAnsi="仿宋_GB2312" w:eastAsia="仿宋_GB2312" w:cs="仿宋_GB2312"/>
          <w:b w:val="0"/>
          <w:bCs w:val="0"/>
          <w:i w:val="0"/>
          <w:iCs w:val="0"/>
          <w:color w:val="auto"/>
          <w:spacing w:val="-6"/>
          <w:kern w:val="0"/>
          <w:sz w:val="32"/>
          <w:szCs w:val="32"/>
          <w:highlight w:val="none"/>
          <w:vertAlign w:val="baseline"/>
          <w:lang w:val="en" w:eastAsia="zh-CN" w:bidi="ar-SA"/>
        </w:rPr>
        <w:t>做出后或者</w:t>
      </w:r>
      <w:r>
        <w:rPr>
          <w:rFonts w:hint="default" w:ascii="仿宋_GB2312" w:hAnsi="仿宋_GB2312" w:eastAsia="仿宋_GB2312" w:cs="仿宋_GB2312"/>
          <w:b w:val="0"/>
          <w:bCs w:val="0"/>
          <w:i w:val="0"/>
          <w:iCs w:val="0"/>
          <w:color w:val="auto"/>
          <w:spacing w:val="-6"/>
          <w:kern w:val="0"/>
          <w:sz w:val="32"/>
          <w:szCs w:val="32"/>
          <w:highlight w:val="none"/>
          <w:vertAlign w:val="baseline"/>
          <w:lang w:val="en-US" w:eastAsia="zh-CN" w:bidi="ar-SA"/>
        </w:rPr>
        <w:t>行政处罚决定生效后５个工作日内制作</w:t>
      </w:r>
      <w:r>
        <w:rPr>
          <w:rFonts w:hint="default" w:ascii="Calibri" w:hAnsi="Calibri" w:eastAsia="方正仿宋_GBK" w:cs="宋体"/>
          <w:b w:val="0"/>
          <w:bCs w:val="0"/>
          <w:i w:val="0"/>
          <w:iCs w:val="0"/>
          <w:color w:val="auto"/>
          <w:kern w:val="2"/>
          <w:sz w:val="32"/>
          <w:szCs w:val="32"/>
          <w:highlight w:val="none"/>
          <w:vertAlign w:val="baseline"/>
          <w:lang w:val="en-US" w:eastAsia="zh-CN" w:bidi="ar-SA"/>
        </w:rPr>
        <w:t>企业统计信用认定</w:t>
      </w:r>
      <w:r>
        <w:rPr>
          <w:rFonts w:hint="eastAsia" w:eastAsia="方正仿宋_GBK" w:cs="宋体"/>
          <w:b w:val="0"/>
          <w:bCs w:val="0"/>
          <w:i w:val="0"/>
          <w:iCs w:val="0"/>
          <w:color w:val="auto"/>
          <w:kern w:val="2"/>
          <w:sz w:val="32"/>
          <w:szCs w:val="32"/>
          <w:highlight w:val="none"/>
          <w:vertAlign w:val="baseline"/>
          <w:lang w:val="en-US" w:eastAsia="zh-CN" w:bidi="ar-SA"/>
        </w:rPr>
        <w:t>通知</w:t>
      </w:r>
      <w:r>
        <w:rPr>
          <w:rFonts w:hint="default" w:ascii="Calibri" w:hAnsi="Calibri" w:eastAsia="方正仿宋_GBK" w:cs="宋体"/>
          <w:b w:val="0"/>
          <w:bCs w:val="0"/>
          <w:i w:val="0"/>
          <w:iCs w:val="0"/>
          <w:color w:val="auto"/>
          <w:kern w:val="2"/>
          <w:sz w:val="32"/>
          <w:szCs w:val="32"/>
          <w:highlight w:val="none"/>
          <w:vertAlign w:val="baseline"/>
          <w:lang w:val="en-US" w:eastAsia="zh-CN" w:bidi="ar-SA"/>
        </w:rPr>
        <w:t>书</w:t>
      </w:r>
      <w:r>
        <w:rPr>
          <w:rFonts w:hint="eastAsia" w:eastAsia="方正仿宋_GBK" w:cs="宋体"/>
          <w:b w:val="0"/>
          <w:bCs w:val="0"/>
          <w:i w:val="0"/>
          <w:iCs w:val="0"/>
          <w:color w:val="auto"/>
          <w:kern w:val="2"/>
          <w:sz w:val="32"/>
          <w:szCs w:val="32"/>
          <w:highlight w:val="none"/>
          <w:vertAlign w:val="baseline"/>
          <w:lang w:val="en" w:eastAsia="zh-CN" w:bidi="ar-SA"/>
        </w:rPr>
        <w:t>。</w:t>
      </w:r>
    </w:p>
    <w:p>
      <w:pPr>
        <w:shd w:val="clear" w:color="FFFFFF" w:fill="FFFFFF"/>
        <w:spacing w:line="600" w:lineRule="exact"/>
        <w:ind w:firstLine="660"/>
        <w:jc w:val="both"/>
        <w:rPr>
          <w:highlight w:val="none"/>
        </w:rPr>
      </w:pPr>
      <w:r>
        <w:rPr>
          <w:rFonts w:hint="eastAsia" w:eastAsia="方正仿宋_GBK" w:cs="宋体"/>
          <w:b w:val="0"/>
          <w:bCs w:val="0"/>
          <w:i w:val="0"/>
          <w:iCs w:val="0"/>
          <w:color w:val="auto"/>
          <w:kern w:val="2"/>
          <w:sz w:val="32"/>
          <w:szCs w:val="32"/>
          <w:highlight w:val="none"/>
          <w:vertAlign w:val="baseline"/>
          <w:lang w:val="en" w:eastAsia="zh-CN" w:bidi="ar-SA"/>
        </w:rPr>
        <w:t>统计机构</w:t>
      </w:r>
      <w:r>
        <w:rPr>
          <w:rFonts w:hint="default" w:ascii="仿宋_GB2312" w:hAnsi="仿宋_GB2312" w:eastAsia="仿宋_GB2312" w:cs="仿宋_GB2312"/>
          <w:b w:val="0"/>
          <w:bCs w:val="0"/>
          <w:i w:val="0"/>
          <w:iCs w:val="0"/>
          <w:color w:val="auto"/>
          <w:spacing w:val="-6"/>
          <w:kern w:val="0"/>
          <w:sz w:val="32"/>
          <w:szCs w:val="32"/>
          <w:highlight w:val="none"/>
          <w:vertAlign w:val="baseline"/>
          <w:lang w:val="en-US" w:eastAsia="zh-CN" w:bidi="ar-SA"/>
        </w:rPr>
        <w:t>对符合</w:t>
      </w:r>
      <w:r>
        <w:rPr>
          <w:rFonts w:hint="default" w:eastAsia="方正仿宋_GBK" w:cs="宋体"/>
          <w:b w:val="0"/>
          <w:bCs w:val="0"/>
          <w:i w:val="0"/>
          <w:iCs w:val="0"/>
          <w:color w:val="auto"/>
          <w:kern w:val="2"/>
          <w:sz w:val="32"/>
          <w:szCs w:val="32"/>
          <w:highlight w:val="none"/>
          <w:vertAlign w:val="baseline"/>
          <w:lang w:val="en" w:eastAsia="zh-CN" w:bidi="ar-SA"/>
        </w:rPr>
        <w:t>评价等级为</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统计严重失信企业</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D</w:t>
      </w:r>
      <w:r>
        <w:rPr>
          <w:rFonts w:hint="default" w:ascii="Times New Roman" w:hAnsi="Times New Roman" w:eastAsia="方正仿宋_GBK" w:cs="Times New Roman"/>
          <w:color w:val="auto"/>
          <w:sz w:val="32"/>
          <w:szCs w:val="32"/>
          <w:highlight w:val="none"/>
          <w:lang w:val="en-US" w:eastAsia="zh-CN"/>
        </w:rPr>
        <w:t>级</w:t>
      </w:r>
      <w:r>
        <w:rPr>
          <w:rFonts w:hint="default" w:ascii="Times New Roman" w:hAnsi="Times New Roman" w:eastAsia="方正仿宋_GBK" w:cs="Times New Roman"/>
          <w:color w:val="auto"/>
          <w:sz w:val="32"/>
          <w:szCs w:val="32"/>
          <w:highlight w:val="none"/>
          <w:lang w:eastAsia="zh-CN"/>
        </w:rPr>
        <w:t>）</w:t>
      </w:r>
      <w:r>
        <w:rPr>
          <w:rFonts w:hint="default" w:ascii="仿宋_GB2312" w:hAnsi="仿宋_GB2312" w:eastAsia="仿宋_GB2312" w:cs="仿宋_GB2312"/>
          <w:b w:val="0"/>
          <w:bCs w:val="0"/>
          <w:i w:val="0"/>
          <w:iCs w:val="0"/>
          <w:color w:val="auto"/>
          <w:spacing w:val="-6"/>
          <w:kern w:val="0"/>
          <w:sz w:val="32"/>
          <w:szCs w:val="32"/>
          <w:highlight w:val="none"/>
          <w:vertAlign w:val="baseline"/>
          <w:lang w:val="en-US" w:eastAsia="zh-CN" w:bidi="ar-SA"/>
        </w:rPr>
        <w:t>，应当在该</w:t>
      </w:r>
      <w:r>
        <w:rPr>
          <w:rFonts w:hint="default" w:ascii="仿宋_GB2312" w:hAnsi="仿宋_GB2312" w:eastAsia="仿宋_GB2312" w:cs="仿宋_GB2312"/>
          <w:b w:val="0"/>
          <w:bCs w:val="0"/>
          <w:i w:val="0"/>
          <w:iCs w:val="0"/>
          <w:color w:val="auto"/>
          <w:spacing w:val="-6"/>
          <w:kern w:val="0"/>
          <w:sz w:val="32"/>
          <w:szCs w:val="32"/>
          <w:highlight w:val="none"/>
          <w:vertAlign w:val="baseline"/>
          <w:lang w:val="en" w:eastAsia="zh-CN" w:bidi="ar-SA"/>
        </w:rPr>
        <w:t>企业</w:t>
      </w:r>
      <w:r>
        <w:rPr>
          <w:rFonts w:hint="default" w:ascii="仿宋_GB2312" w:hAnsi="仿宋_GB2312" w:eastAsia="仿宋_GB2312" w:cs="仿宋_GB2312"/>
          <w:b w:val="0"/>
          <w:bCs w:val="0"/>
          <w:i w:val="0"/>
          <w:iCs w:val="0"/>
          <w:color w:val="auto"/>
          <w:spacing w:val="-6"/>
          <w:kern w:val="0"/>
          <w:sz w:val="32"/>
          <w:szCs w:val="32"/>
          <w:highlight w:val="none"/>
          <w:vertAlign w:val="baseline"/>
          <w:lang w:val="en-US" w:eastAsia="zh-CN" w:bidi="ar-SA"/>
        </w:rPr>
        <w:t>行政处罚决定生效后５个工作日内制作</w:t>
      </w:r>
      <w:r>
        <w:rPr>
          <w:rFonts w:hint="default" w:ascii="Calibri" w:hAnsi="Calibri" w:eastAsia="方正仿宋_GBK" w:cs="宋体"/>
          <w:b w:val="0"/>
          <w:bCs w:val="0"/>
          <w:i w:val="0"/>
          <w:iCs w:val="0"/>
          <w:color w:val="auto"/>
          <w:kern w:val="2"/>
          <w:sz w:val="32"/>
          <w:szCs w:val="32"/>
          <w:highlight w:val="none"/>
          <w:vertAlign w:val="baseline"/>
          <w:lang w:val="en-US" w:eastAsia="zh-CN" w:bidi="ar-SA"/>
        </w:rPr>
        <w:t>企业统计信用认定告知书</w:t>
      </w:r>
      <w:r>
        <w:rPr>
          <w:rFonts w:hint="default" w:ascii="仿宋_GB2312" w:hAnsi="仿宋_GB2312" w:eastAsia="仿宋_GB2312" w:cs="仿宋_GB2312"/>
          <w:b w:val="0"/>
          <w:bCs w:val="0"/>
          <w:i w:val="0"/>
          <w:iCs w:val="0"/>
          <w:color w:val="auto"/>
          <w:spacing w:val="-6"/>
          <w:kern w:val="0"/>
          <w:sz w:val="32"/>
          <w:szCs w:val="32"/>
          <w:highlight w:val="none"/>
          <w:vertAlign w:val="baseline"/>
          <w:lang w:val="en-US" w:eastAsia="zh-CN" w:bidi="ar-SA"/>
        </w:rPr>
        <w:t>，告知事由、依据、后果以及享有的陈述、申辩权利。</w:t>
      </w:r>
    </w:p>
    <w:p>
      <w:pPr>
        <w:spacing w:line="600" w:lineRule="exact"/>
        <w:ind w:firstLine="640" w:firstLineChars="200"/>
        <w:jc w:val="both"/>
      </w:pPr>
      <w:r>
        <w:rPr>
          <w:rFonts w:hint="eastAsia" w:ascii="黑体" w:hAnsi="黑体" w:eastAsia="黑体" w:cs="黑体"/>
          <w:b w:val="0"/>
          <w:bCs w:val="0"/>
          <w:i w:val="0"/>
          <w:iCs w:val="0"/>
          <w:color w:val="auto"/>
          <w:kern w:val="0"/>
          <w:sz w:val="32"/>
          <w:szCs w:val="32"/>
          <w:highlight w:val="none"/>
          <w:vertAlign w:val="baseline"/>
          <w:lang w:val="en-US" w:eastAsia="zh-CN" w:bidi="ar-SA"/>
        </w:rPr>
        <w:t>第十</w:t>
      </w:r>
      <w:r>
        <w:rPr>
          <w:rFonts w:hint="eastAsia" w:ascii="黑体" w:hAnsi="黑体" w:eastAsia="黑体" w:cs="黑体"/>
          <w:b w:val="0"/>
          <w:bCs w:val="0"/>
          <w:i w:val="0"/>
          <w:iCs w:val="0"/>
          <w:color w:val="auto"/>
          <w:kern w:val="0"/>
          <w:sz w:val="32"/>
          <w:szCs w:val="32"/>
          <w:highlight w:val="none"/>
          <w:vertAlign w:val="baseline"/>
          <w:lang w:val="en" w:eastAsia="zh-CN" w:bidi="ar-SA"/>
        </w:rPr>
        <w:t>一</w:t>
      </w:r>
      <w:r>
        <w:rPr>
          <w:rFonts w:hint="eastAsia" w:ascii="黑体" w:hAnsi="黑体" w:eastAsia="黑体" w:cs="黑体"/>
          <w:b w:val="0"/>
          <w:bCs w:val="0"/>
          <w:i w:val="0"/>
          <w:iCs w:val="0"/>
          <w:color w:val="auto"/>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　</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统计严重失信企业</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w:t>
      </w:r>
      <w:r>
        <w:rPr>
          <w:rFonts w:hint="default" w:eastAsia="方正仿宋_GBK" w:cs="宋体"/>
          <w:b w:val="0"/>
          <w:bCs w:val="0"/>
          <w:i w:val="0"/>
          <w:iCs w:val="0"/>
          <w:color w:val="auto"/>
          <w:kern w:val="2"/>
          <w:sz w:val="32"/>
          <w:szCs w:val="32"/>
          <w:highlight w:val="none"/>
          <w:vertAlign w:val="baseline"/>
          <w:lang w:val="en" w:eastAsia="zh-CN" w:bidi="ar-SA"/>
        </w:rPr>
        <w:t>D级</w:t>
      </w:r>
      <w:r>
        <w:rPr>
          <w:rFonts w:hint="eastAsia" w:eastAsia="方正仿宋_GBK" w:cs="宋体"/>
          <w:b w:val="0"/>
          <w:bCs w:val="0"/>
          <w:i w:val="0"/>
          <w:iCs w:val="0"/>
          <w:color w:val="auto"/>
          <w:kern w:val="2"/>
          <w:sz w:val="32"/>
          <w:szCs w:val="32"/>
          <w:highlight w:val="none"/>
          <w:vertAlign w:val="baseline"/>
          <w:lang w:val="en" w:eastAsia="zh-CN" w:bidi="ar-SA"/>
        </w:rPr>
        <w:t>）</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自收到</w:t>
      </w:r>
      <w:r>
        <w:rPr>
          <w:rFonts w:hint="default" w:ascii="Calibri" w:hAnsi="Calibri" w:eastAsia="方正仿宋_GBK" w:cs="宋体"/>
          <w:b w:val="0"/>
          <w:bCs w:val="0"/>
          <w:i w:val="0"/>
          <w:iCs w:val="0"/>
          <w:color w:val="auto"/>
          <w:kern w:val="2"/>
          <w:sz w:val="32"/>
          <w:szCs w:val="32"/>
          <w:highlight w:val="none"/>
          <w:vertAlign w:val="baseline"/>
          <w:lang w:val="en-US" w:eastAsia="zh-CN" w:bidi="ar-SA"/>
        </w:rPr>
        <w:t>企业统计信用认定告知书</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之日起5个工作日内，可以向作出认定决定的统计机构提出陈述申辩，逾期未提出的视为放弃该权利。</w:t>
      </w:r>
    </w:p>
    <w:p>
      <w:pPr>
        <w:widowControl/>
        <w:shd w:val="clear" w:color="FFFFFF" w:fill="FFFFFF"/>
        <w:spacing w:line="600" w:lineRule="exact"/>
        <w:ind w:firstLine="660"/>
        <w:jc w:val="both"/>
      </w:pP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统计机构认为企业提交的陈述、申辩材料不完整的，应当告知企业在规定时限内补充相关材料。</w:t>
      </w:r>
    </w:p>
    <w:p>
      <w:pPr>
        <w:widowControl/>
        <w:shd w:val="clear" w:color="FFFFFF" w:fill="FFFFFF"/>
        <w:spacing w:line="600" w:lineRule="exact"/>
        <w:ind w:firstLine="660"/>
        <w:jc w:val="both"/>
      </w:pP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统计机构应当充分听取企业的意见，对企业提出的事实、理由和证据进行复核；企业提出的事实、理由或者证据成立的，统计机构应当采纳。</w:t>
      </w:r>
    </w:p>
    <w:p>
      <w:pPr>
        <w:widowControl/>
        <w:spacing w:line="600" w:lineRule="exact"/>
        <w:ind w:firstLine="640" w:firstLineChars="200"/>
        <w:jc w:val="both"/>
      </w:pPr>
      <w:r>
        <w:rPr>
          <w:rFonts w:hint="default" w:ascii="黑体" w:hAnsi="黑体" w:eastAsia="黑体" w:cs="黑体"/>
          <w:b w:val="0"/>
          <w:bCs w:val="0"/>
          <w:i w:val="0"/>
          <w:iCs w:val="0"/>
          <w:color w:val="auto"/>
          <w:kern w:val="0"/>
          <w:sz w:val="32"/>
          <w:szCs w:val="32"/>
          <w:highlight w:val="none"/>
          <w:vertAlign w:val="baseline"/>
          <w:lang w:val="en-US" w:eastAsia="zh-CN" w:bidi="ar-SA"/>
        </w:rPr>
        <w:t>第十</w:t>
      </w:r>
      <w:r>
        <w:rPr>
          <w:rFonts w:hint="eastAsia" w:ascii="黑体" w:hAnsi="黑体" w:eastAsia="黑体" w:cs="黑体"/>
          <w:b w:val="0"/>
          <w:bCs w:val="0"/>
          <w:i w:val="0"/>
          <w:iCs w:val="0"/>
          <w:color w:val="auto"/>
          <w:kern w:val="0"/>
          <w:sz w:val="32"/>
          <w:szCs w:val="32"/>
          <w:highlight w:val="none"/>
          <w:vertAlign w:val="baseline"/>
          <w:lang w:val="en" w:eastAsia="zh-CN" w:bidi="ar-SA"/>
        </w:rPr>
        <w:t>二</w:t>
      </w:r>
      <w:r>
        <w:rPr>
          <w:rFonts w:hint="default" w:ascii="黑体" w:hAnsi="黑体" w:eastAsia="黑体" w:cs="黑体"/>
          <w:b w:val="0"/>
          <w:bCs w:val="0"/>
          <w:i w:val="0"/>
          <w:iCs w:val="0"/>
          <w:color w:val="auto"/>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 xml:space="preserve">  统计机构应当在</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统计严重失信企业</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w:t>
      </w:r>
      <w:r>
        <w:rPr>
          <w:rFonts w:hint="default" w:eastAsia="方正仿宋_GBK" w:cs="宋体"/>
          <w:b w:val="0"/>
          <w:bCs w:val="0"/>
          <w:i w:val="0"/>
          <w:iCs w:val="0"/>
          <w:color w:val="auto"/>
          <w:kern w:val="2"/>
          <w:sz w:val="32"/>
          <w:szCs w:val="32"/>
          <w:highlight w:val="none"/>
          <w:vertAlign w:val="baseline"/>
          <w:lang w:val="en" w:eastAsia="zh-CN" w:bidi="ar-SA"/>
        </w:rPr>
        <w:t>D级</w:t>
      </w:r>
      <w:r>
        <w:rPr>
          <w:rFonts w:hint="eastAsia" w:eastAsia="方正仿宋_GBK" w:cs="宋体"/>
          <w:b w:val="0"/>
          <w:bCs w:val="0"/>
          <w:i w:val="0"/>
          <w:iCs w:val="0"/>
          <w:color w:val="auto"/>
          <w:kern w:val="2"/>
          <w:sz w:val="32"/>
          <w:szCs w:val="32"/>
          <w:highlight w:val="none"/>
          <w:vertAlign w:val="baseline"/>
          <w:lang w:val="en" w:eastAsia="zh-CN" w:bidi="ar-SA"/>
        </w:rPr>
        <w:t>）</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提交陈述、申辩材料时限截止之日起7个工作日内作出决定并制作</w:t>
      </w:r>
      <w:r>
        <w:rPr>
          <w:rFonts w:hint="default" w:ascii="Calibri" w:hAnsi="Calibri" w:eastAsia="方正仿宋_GBK" w:cs="宋体"/>
          <w:b w:val="0"/>
          <w:bCs w:val="0"/>
          <w:i w:val="0"/>
          <w:iCs w:val="0"/>
          <w:color w:val="auto"/>
          <w:kern w:val="2"/>
          <w:sz w:val="32"/>
          <w:szCs w:val="32"/>
          <w:highlight w:val="none"/>
          <w:vertAlign w:val="baseline"/>
          <w:lang w:val="en-US" w:eastAsia="zh-CN" w:bidi="ar-SA"/>
        </w:rPr>
        <w:t>企业统计信用认定决定书</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，载明以下事项：</w:t>
      </w:r>
    </w:p>
    <w:p>
      <w:pPr>
        <w:widowControl/>
        <w:shd w:val="clear" w:color="FFFFFF" w:fill="FFFFFF"/>
        <w:spacing w:line="600" w:lineRule="exact"/>
        <w:ind w:firstLine="640"/>
        <w:jc w:val="both"/>
      </w:pP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企业名称及其法定代表人或者负责人；</w:t>
      </w:r>
    </w:p>
    <w:p>
      <w:pPr>
        <w:widowControl/>
        <w:shd w:val="clear" w:color="FFFFFF" w:fill="FFFFFF"/>
        <w:spacing w:line="600" w:lineRule="exact"/>
        <w:ind w:firstLine="640"/>
        <w:jc w:val="both"/>
      </w:pP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统一社会信用代码；</w:t>
      </w:r>
    </w:p>
    <w:p>
      <w:pPr>
        <w:widowControl/>
        <w:shd w:val="clear" w:color="FFFFFF" w:fill="FFFFFF"/>
        <w:spacing w:line="600" w:lineRule="exact"/>
        <w:ind w:firstLine="640"/>
        <w:jc w:val="both"/>
      </w:pP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认定事由、依据；</w:t>
      </w:r>
    </w:p>
    <w:p>
      <w:pPr>
        <w:widowControl/>
        <w:shd w:val="clear" w:color="FFFFFF" w:fill="FFFFFF"/>
        <w:spacing w:line="600" w:lineRule="exact"/>
        <w:ind w:firstLine="640"/>
        <w:jc w:val="both"/>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pP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公示渠道、期限和其他严重失信惩戒措施</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w:t>
      </w:r>
    </w:p>
    <w:p>
      <w:pPr>
        <w:widowControl/>
        <w:shd w:val="clear" w:color="FFFFFF" w:fill="FFFFFF"/>
        <w:spacing w:line="600" w:lineRule="exact"/>
        <w:ind w:firstLine="640"/>
        <w:jc w:val="both"/>
      </w:pP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信用修复条件和程序；</w:t>
      </w:r>
    </w:p>
    <w:p>
      <w:pPr>
        <w:widowControl/>
        <w:shd w:val="clear" w:color="FFFFFF" w:fill="FFFFFF"/>
        <w:spacing w:line="600" w:lineRule="exact"/>
        <w:ind w:firstLine="640"/>
        <w:jc w:val="both"/>
      </w:pP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申请行政复议和提起行政诉讼的途径和期限；</w:t>
      </w:r>
    </w:p>
    <w:p>
      <w:pPr>
        <w:widowControl/>
        <w:shd w:val="clear" w:color="FFFFFF" w:fill="FFFFFF"/>
        <w:spacing w:line="600" w:lineRule="exact"/>
        <w:ind w:firstLine="640"/>
        <w:jc w:val="both"/>
        <w:rPr>
          <w:rFonts w:hint="default" w:ascii="Calibri" w:hAnsi="Calibri" w:eastAsia="方正仿宋_GBK" w:cs="宋体"/>
          <w:b w:val="0"/>
          <w:bCs w:val="0"/>
          <w:i w:val="0"/>
          <w:iCs w:val="0"/>
          <w:color w:val="auto"/>
          <w:kern w:val="2"/>
          <w:sz w:val="32"/>
          <w:szCs w:val="32"/>
          <w:highlight w:val="none"/>
          <w:vertAlign w:val="baseline"/>
          <w:lang w:val="en-US" w:eastAsia="zh-CN" w:bidi="ar-SA"/>
        </w:rPr>
      </w:pP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作出认定决定的统计机构名称和认定日期，</w:t>
      </w:r>
      <w:r>
        <w:rPr>
          <w:rFonts w:hint="default" w:ascii="Calibri" w:hAnsi="Calibri" w:eastAsia="方正仿宋_GBK" w:cs="宋体"/>
          <w:b w:val="0"/>
          <w:bCs w:val="0"/>
          <w:i w:val="0"/>
          <w:iCs w:val="0"/>
          <w:color w:val="auto"/>
          <w:kern w:val="2"/>
          <w:sz w:val="32"/>
          <w:szCs w:val="32"/>
          <w:highlight w:val="none"/>
          <w:vertAlign w:val="baseline"/>
          <w:lang w:val="en-US" w:eastAsia="zh-CN" w:bidi="ar-SA"/>
        </w:rPr>
        <w:t>并加盖作出认定决定的统计机构印章</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w:t>
      </w:r>
      <w:r>
        <w:rPr>
          <w:rFonts w:hint="default" w:ascii="Calibri" w:hAnsi="Calibri" w:eastAsia="方正仿宋_GBK" w:cs="宋体"/>
          <w:b w:val="0"/>
          <w:bCs w:val="0"/>
          <w:i w:val="0"/>
          <w:iCs w:val="0"/>
          <w:color w:val="auto"/>
          <w:kern w:val="2"/>
          <w:sz w:val="32"/>
          <w:szCs w:val="32"/>
          <w:highlight w:val="none"/>
          <w:vertAlign w:val="baseline"/>
          <w:lang w:val="en-US" w:eastAsia="zh-CN" w:bidi="ar-SA"/>
        </w:rPr>
        <w:t>应当依照《中华人民共和国民事诉讼法》规定的送达方式送达。</w:t>
      </w:r>
    </w:p>
    <w:p>
      <w:pPr>
        <w:shd w:val="clear" w:color="FFFFFF" w:fill="FFFFFF"/>
        <w:spacing w:line="600" w:lineRule="exact"/>
        <w:ind w:firstLine="640" w:firstLineChars="200"/>
        <w:jc w:val="both"/>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default" w:ascii="黑体" w:hAnsi="黑体" w:eastAsia="黑体" w:cs="仿宋_GB2312"/>
          <w:b w:val="0"/>
          <w:bCs w:val="0"/>
          <w:i w:val="0"/>
          <w:iCs w:val="0"/>
          <w:color w:val="000000"/>
          <w:kern w:val="0"/>
          <w:sz w:val="32"/>
          <w:szCs w:val="32"/>
          <w:highlight w:val="none"/>
          <w:vertAlign w:val="baseline"/>
          <w:lang w:val="en-US" w:eastAsia="zh-CN" w:bidi="ar-SA"/>
        </w:rPr>
        <w:t>第</w:t>
      </w:r>
      <w:r>
        <w:rPr>
          <w:rFonts w:hint="default" w:ascii="黑体" w:hAnsi="黑体" w:eastAsia="黑体" w:cs="仿宋_GB2312"/>
          <w:b w:val="0"/>
          <w:bCs w:val="0"/>
          <w:i w:val="0"/>
          <w:iCs w:val="0"/>
          <w:color w:val="000000"/>
          <w:kern w:val="0"/>
          <w:sz w:val="32"/>
          <w:szCs w:val="32"/>
          <w:highlight w:val="none"/>
          <w:vertAlign w:val="baseline"/>
          <w:lang w:val="en" w:eastAsia="zh-CN" w:bidi="ar-SA"/>
        </w:rPr>
        <w:t>十</w:t>
      </w:r>
      <w:r>
        <w:rPr>
          <w:rFonts w:hint="eastAsia" w:ascii="黑体" w:hAnsi="黑体" w:eastAsia="黑体" w:cs="仿宋_GB2312"/>
          <w:b w:val="0"/>
          <w:bCs w:val="0"/>
          <w:i w:val="0"/>
          <w:iCs w:val="0"/>
          <w:color w:val="000000"/>
          <w:kern w:val="0"/>
          <w:sz w:val="32"/>
          <w:szCs w:val="32"/>
          <w:highlight w:val="none"/>
          <w:vertAlign w:val="baseline"/>
          <w:lang w:val="en" w:eastAsia="zh-CN" w:bidi="ar-SA"/>
        </w:rPr>
        <w:t>三</w:t>
      </w:r>
      <w:r>
        <w:rPr>
          <w:rFonts w:hint="default" w:ascii="黑体" w:hAnsi="黑体" w:eastAsia="黑体" w:cs="仿宋_GB2312"/>
          <w:b w:val="0"/>
          <w:bCs w:val="0"/>
          <w:i w:val="0"/>
          <w:iCs w:val="0"/>
          <w:color w:val="000000"/>
          <w:kern w:val="0"/>
          <w:sz w:val="32"/>
          <w:szCs w:val="32"/>
          <w:highlight w:val="none"/>
          <w:vertAlign w:val="baseline"/>
          <w:lang w:val="en-US" w:eastAsia="zh-CN" w:bidi="ar-SA"/>
        </w:rPr>
        <w:t xml:space="preserve">条  </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统计机构应当归集、保存履职过程中采集的企业信用信息，按国家和重庆市有关规定实施</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信息</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共享</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w:t>
      </w:r>
    </w:p>
    <w:p>
      <w:pPr>
        <w:widowControl/>
        <w:shd w:val="clear" w:color="FFFFFF" w:fill="FFFFFF"/>
        <w:spacing w:line="600" w:lineRule="exact"/>
        <w:ind w:firstLine="640" w:firstLineChars="200"/>
        <w:jc w:val="both"/>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eastAsia" w:ascii="黑体" w:hAnsi="黑体" w:eastAsia="黑体" w:cs="仿宋_GB2312"/>
          <w:b w:val="0"/>
          <w:bCs w:val="0"/>
          <w:i w:val="0"/>
          <w:iCs w:val="0"/>
          <w:color w:val="000000"/>
          <w:kern w:val="0"/>
          <w:sz w:val="32"/>
          <w:szCs w:val="32"/>
          <w:highlight w:val="none"/>
          <w:vertAlign w:val="baseline"/>
          <w:lang w:val="en-US" w:eastAsia="zh-CN" w:bidi="ar-SA"/>
        </w:rPr>
        <w:t>第十四条</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 xml:space="preserve"> 统计机构</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根据</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企业统计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信用评价</w:t>
      </w:r>
      <w:r>
        <w:rPr>
          <w:rFonts w:hint="default" w:ascii="仿宋_GB2312" w:hAnsi="仿宋_GB2312" w:eastAsia="仿宋_GB2312" w:cs="仿宋_GB2312"/>
          <w:b w:val="0"/>
          <w:bCs w:val="0"/>
          <w:i w:val="0"/>
          <w:iCs w:val="0"/>
          <w:color w:val="000000"/>
          <w:kern w:val="0"/>
          <w:sz w:val="32"/>
          <w:szCs w:val="32"/>
          <w:highlight w:val="none"/>
          <w:vertAlign w:val="baseline"/>
          <w:lang w:val="en" w:eastAsia="zh-CN" w:bidi="ar-SA"/>
        </w:rPr>
        <w:t>认定</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结果，在“双随机、一公开”监督检查、日常监督检查中实施差异化监管。</w:t>
      </w:r>
    </w:p>
    <w:p>
      <w:pPr>
        <w:widowControl/>
        <w:shd w:val="clear" w:color="FFFFFF" w:fill="FFFFFF"/>
        <w:spacing w:line="600" w:lineRule="exact"/>
        <w:ind w:firstLine="640" w:firstLineChars="200"/>
        <w:jc w:val="both"/>
        <w:rPr>
          <w:rFonts w:hint="default" w:hAnsi="仿宋_GB2312" w:cs="仿宋_GB2312"/>
          <w:b w:val="0"/>
          <w:bCs w:val="0"/>
          <w:i w:val="0"/>
          <w:iCs w:val="0"/>
          <w:color w:val="auto"/>
          <w:kern w:val="0"/>
          <w:sz w:val="32"/>
          <w:szCs w:val="32"/>
          <w:highlight w:val="none"/>
          <w:vertAlign w:val="baseline"/>
          <w:lang w:val="en-US" w:eastAsia="zh-CN" w:bidi="ar-SA"/>
        </w:rPr>
      </w:pPr>
      <w:r>
        <w:rPr>
          <w:rFonts w:hint="eastAsia" w:ascii="黑体" w:hAnsi="黑体" w:eastAsia="黑体" w:cs="仿宋_GB2312"/>
          <w:b w:val="0"/>
          <w:bCs w:val="0"/>
          <w:i w:val="0"/>
          <w:iCs w:val="0"/>
          <w:color w:val="000000"/>
          <w:kern w:val="0"/>
          <w:sz w:val="32"/>
          <w:szCs w:val="32"/>
          <w:highlight w:val="none"/>
          <w:vertAlign w:val="baseline"/>
          <w:lang w:val="en-US" w:eastAsia="zh-CN" w:bidi="ar-SA"/>
        </w:rPr>
        <w:t>第十五条</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 xml:space="preserve"> </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对统计诚信企业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A级</w:t>
      </w:r>
      <w:r>
        <w:rPr>
          <w:rFonts w:hint="default" w:ascii="Times New Roman" w:hAnsi="Times New Roman" w:eastAsia="方正仿宋_GBK" w:cs="Times New Roman"/>
          <w:color w:val="auto"/>
          <w:sz w:val="32"/>
          <w:szCs w:val="32"/>
          <w:highlight w:val="none"/>
          <w:lang w:eastAsia="zh-CN"/>
        </w:rPr>
        <w:t>）</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统计机构主动向社会公告信用评价认定为</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A级</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的企业名单，适当减少常规统计执法检查频次。</w:t>
      </w:r>
    </w:p>
    <w:p>
      <w:pPr>
        <w:widowControl/>
        <w:numPr>
          <w:ilvl w:val="0"/>
          <w:numId w:val="0"/>
        </w:numPr>
        <w:shd w:val="clear" w:color="FFFFFF" w:fill="FFFFFF"/>
        <w:spacing w:line="600" w:lineRule="exact"/>
        <w:ind w:firstLine="640" w:firstLineChars="200"/>
        <w:jc w:val="both"/>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pPr>
      <w:r>
        <w:rPr>
          <w:rFonts w:hint="eastAsia" w:ascii="黑体" w:hAnsi="黑体" w:eastAsia="黑体" w:cs="仿宋_GB2312"/>
          <w:b w:val="0"/>
          <w:bCs w:val="0"/>
          <w:i w:val="0"/>
          <w:iCs w:val="0"/>
          <w:color w:val="000000"/>
          <w:kern w:val="0"/>
          <w:sz w:val="32"/>
          <w:szCs w:val="32"/>
          <w:highlight w:val="none"/>
          <w:vertAlign w:val="baseline"/>
          <w:lang w:val="en-US" w:eastAsia="zh-CN" w:bidi="ar-SA"/>
        </w:rPr>
        <w:t xml:space="preserve">第十六条 </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对</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统计信用异常企业</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B</w:t>
      </w:r>
      <w:r>
        <w:rPr>
          <w:rFonts w:hint="default" w:ascii="Times New Roman" w:hAnsi="Times New Roman" w:eastAsia="方正仿宋_GBK" w:cs="Times New Roman"/>
          <w:color w:val="auto"/>
          <w:sz w:val="32"/>
          <w:szCs w:val="32"/>
          <w:highlight w:val="none"/>
          <w:lang w:val="en-US" w:eastAsia="zh-CN"/>
        </w:rPr>
        <w:t>级</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统计一般失信企业</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C</w:t>
      </w:r>
      <w:r>
        <w:rPr>
          <w:rFonts w:hint="default" w:ascii="Times New Roman" w:hAnsi="Times New Roman" w:eastAsia="方正仿宋_GBK" w:cs="Times New Roman"/>
          <w:color w:val="auto"/>
          <w:sz w:val="32"/>
          <w:szCs w:val="32"/>
          <w:highlight w:val="none"/>
          <w:lang w:val="en-US" w:eastAsia="zh-CN"/>
        </w:rPr>
        <w:t>级</w:t>
      </w:r>
      <w:r>
        <w:rPr>
          <w:rFonts w:hint="default" w:ascii="Times New Roman" w:hAnsi="Times New Roman" w:eastAsia="方正仿宋_GBK" w:cs="Times New Roman"/>
          <w:color w:val="auto"/>
          <w:sz w:val="32"/>
          <w:szCs w:val="32"/>
          <w:highlight w:val="none"/>
          <w:lang w:eastAsia="zh-CN"/>
        </w:rPr>
        <w:t>）</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统计机构对其进行约谈，依法进行从严管理，</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适当提高</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常规统计执法检查</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频次，指导企业改正统计违法行为</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w:t>
      </w:r>
    </w:p>
    <w:p>
      <w:pPr>
        <w:widowControl/>
        <w:shd w:val="clear" w:color="FFFFFF" w:fill="FFFFFF"/>
        <w:spacing w:line="600" w:lineRule="exact"/>
        <w:ind w:firstLine="640" w:firstLineChars="200"/>
        <w:jc w:val="both"/>
        <w:rPr>
          <w:rFonts w:hint="default" w:hAnsi="仿宋_GB2312" w:cs="仿宋_GB2312"/>
          <w:b w:val="0"/>
          <w:bCs w:val="0"/>
          <w:i w:val="0"/>
          <w:iCs w:val="0"/>
          <w:color w:val="auto"/>
          <w:kern w:val="0"/>
          <w:sz w:val="32"/>
          <w:szCs w:val="32"/>
          <w:highlight w:val="none"/>
          <w:vertAlign w:val="baseline"/>
          <w:lang w:val="en-US" w:eastAsia="zh-CN" w:bidi="ar-SA"/>
        </w:rPr>
      </w:pPr>
      <w:r>
        <w:rPr>
          <w:rFonts w:hint="eastAsia" w:ascii="黑体" w:hAnsi="黑体" w:eastAsia="黑体" w:cs="仿宋_GB2312"/>
          <w:b w:val="0"/>
          <w:bCs w:val="0"/>
          <w:i w:val="0"/>
          <w:iCs w:val="0"/>
          <w:color w:val="000000"/>
          <w:kern w:val="0"/>
          <w:sz w:val="32"/>
          <w:szCs w:val="32"/>
          <w:highlight w:val="none"/>
          <w:vertAlign w:val="baseline"/>
          <w:lang w:val="en-US" w:eastAsia="zh-CN" w:bidi="ar-SA"/>
        </w:rPr>
        <w:t xml:space="preserve">第十七条 </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对</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统计严重失信企业</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w:t>
      </w:r>
      <w:r>
        <w:rPr>
          <w:rFonts w:hint="default" w:eastAsia="方正仿宋_GBK" w:cs="宋体"/>
          <w:b w:val="0"/>
          <w:bCs w:val="0"/>
          <w:i w:val="0"/>
          <w:iCs w:val="0"/>
          <w:color w:val="auto"/>
          <w:kern w:val="2"/>
          <w:sz w:val="32"/>
          <w:szCs w:val="32"/>
          <w:highlight w:val="none"/>
          <w:vertAlign w:val="baseline"/>
          <w:lang w:val="en" w:eastAsia="zh-CN" w:bidi="ar-SA"/>
        </w:rPr>
        <w:t>D</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级），统计机构按规</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定进行</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信息</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公示</w:t>
      </w:r>
      <w:r>
        <w:rPr>
          <w:rFonts w:hint="eastAsia" w:ascii="仿宋_GB2312" w:hAnsi="仿宋_GB2312" w:eastAsia="仿宋_GB2312" w:cs="仿宋_GB2312"/>
          <w:b w:val="0"/>
          <w:bCs w:val="0"/>
          <w:i w:val="0"/>
          <w:iCs w:val="0"/>
          <w:color w:val="auto"/>
          <w:kern w:val="0"/>
          <w:sz w:val="32"/>
          <w:szCs w:val="32"/>
          <w:highlight w:val="none"/>
          <w:vertAlign w:val="baseline"/>
          <w:lang w:val="en-US" w:eastAsia="zh-CN" w:bidi="ar-SA"/>
        </w:rPr>
        <w:t>，将其作为常规统计执法检查重点监管对象，与相关部门实施联合惩戒。</w:t>
      </w:r>
    </w:p>
    <w:p>
      <w:pPr>
        <w:pStyle w:val="2"/>
        <w:rPr>
          <w:rFonts w:hint="default"/>
          <w:highlight w:val="yellow"/>
          <w:lang w:val="en-US" w:eastAsia="zh-CN"/>
        </w:rPr>
      </w:pPr>
    </w:p>
    <w:p>
      <w:pPr>
        <w:shd w:val="clear" w:color="auto" w:fill="FFFFFF"/>
        <w:spacing w:line="600" w:lineRule="exact"/>
        <w:jc w:val="cente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章　</w:t>
      </w:r>
      <w:r>
        <w:rPr>
          <w:rFonts w:hint="eastAsia" w:ascii="黑体" w:hAnsi="黑体" w:eastAsia="黑体" w:cs="黑体"/>
          <w:color w:val="000000"/>
          <w:kern w:val="0"/>
          <w:sz w:val="32"/>
          <w:szCs w:val="32"/>
          <w:lang w:eastAsia="zh-CN"/>
        </w:rPr>
        <w:t>统计严重失信企业信用信息公示和修复</w:t>
      </w:r>
    </w:p>
    <w:p>
      <w:pPr>
        <w:pStyle w:val="2"/>
      </w:pPr>
    </w:p>
    <w:p>
      <w:pPr>
        <w:widowControl/>
        <w:shd w:val="clear" w:color="FFFFFF" w:fill="FFFFFF"/>
        <w:spacing w:line="600" w:lineRule="exact"/>
        <w:ind w:firstLine="640" w:firstLineChars="20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第十</w:t>
      </w:r>
      <w:r>
        <w:rPr>
          <w:rFonts w:hint="eastAsia" w:ascii="黑体" w:hAnsi="黑体" w:eastAsia="黑体" w:cs="黑体"/>
          <w:b w:val="0"/>
          <w:bCs w:val="0"/>
          <w:i w:val="0"/>
          <w:iCs w:val="0"/>
          <w:color w:val="000000"/>
          <w:kern w:val="0"/>
          <w:sz w:val="32"/>
          <w:szCs w:val="32"/>
          <w:highlight w:val="none"/>
          <w:vertAlign w:val="baseline"/>
          <w:lang w:val="en" w:eastAsia="zh-CN" w:bidi="ar-SA"/>
        </w:rPr>
        <w:t>八</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统计机构应当自作出统计严重失信企业认定决定之日起10个工作日内向社会公示统计严重失信信息，包括：</w:t>
      </w:r>
    </w:p>
    <w:p>
      <w:pPr>
        <w:widowControl/>
        <w:shd w:val="clear" w:color="FFFFFF" w:fill="FFFFFF"/>
        <w:spacing w:line="600" w:lineRule="exact"/>
        <w:ind w:firstLine="640" w:firstLineChars="2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（一）企业基本信息，包括企业名称、地址、统一社会信用代码、法定代表人或者负责人等；</w:t>
      </w:r>
    </w:p>
    <w:p>
      <w:pPr>
        <w:widowControl/>
        <w:shd w:val="clear" w:color="FFFFFF" w:fill="FFFFFF"/>
        <w:spacing w:line="600" w:lineRule="exact"/>
        <w:ind w:firstLine="640" w:firstLineChars="2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（二）统计违法行为；</w:t>
      </w:r>
    </w:p>
    <w:p>
      <w:pPr>
        <w:widowControl/>
        <w:shd w:val="clear" w:color="FFFFFF" w:fill="FFFFFF"/>
        <w:spacing w:line="600" w:lineRule="exact"/>
        <w:ind w:firstLine="640" w:firstLineChars="2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（三）依法处理情况；</w:t>
      </w:r>
    </w:p>
    <w:p>
      <w:pPr>
        <w:widowControl/>
        <w:shd w:val="clear" w:color="FFFFFF" w:fill="FFFFFF"/>
        <w:spacing w:line="600" w:lineRule="exact"/>
        <w:ind w:firstLine="640" w:firstLineChars="2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（四）其他相关信息。</w:t>
      </w:r>
    </w:p>
    <w:p>
      <w:pPr>
        <w:widowControl/>
        <w:shd w:val="clear" w:color="FFFFFF" w:fill="FFFFFF"/>
        <w:spacing w:line="600" w:lineRule="exact"/>
        <w:ind w:firstLine="640" w:firstLineChars="200"/>
        <w:jc w:val="both"/>
      </w:pPr>
      <w:r>
        <w:rPr>
          <w:rFonts w:hint="default" w:ascii="黑体" w:hAnsi="黑体" w:eastAsia="黑体" w:cs="仿宋_GB2312"/>
          <w:b w:val="0"/>
          <w:bCs w:val="0"/>
          <w:i w:val="0"/>
          <w:iCs w:val="0"/>
          <w:color w:val="000000"/>
          <w:kern w:val="0"/>
          <w:sz w:val="32"/>
          <w:szCs w:val="32"/>
          <w:highlight w:val="none"/>
          <w:vertAlign w:val="baseline"/>
          <w:lang w:val="en-US" w:eastAsia="zh-CN" w:bidi="ar-SA"/>
        </w:rPr>
        <w:t>第十</w:t>
      </w:r>
      <w:r>
        <w:rPr>
          <w:rFonts w:hint="eastAsia" w:ascii="黑体" w:hAnsi="黑体" w:eastAsia="黑体" w:cs="仿宋_GB2312"/>
          <w:b w:val="0"/>
          <w:bCs w:val="0"/>
          <w:i w:val="0"/>
          <w:iCs w:val="0"/>
          <w:color w:val="000000"/>
          <w:kern w:val="0"/>
          <w:sz w:val="32"/>
          <w:szCs w:val="32"/>
          <w:highlight w:val="none"/>
          <w:vertAlign w:val="baseline"/>
          <w:lang w:val="en-US" w:eastAsia="zh-CN" w:bidi="ar-SA"/>
        </w:rPr>
        <w:t>九</w:t>
      </w:r>
      <w:r>
        <w:rPr>
          <w:rFonts w:hint="default" w:ascii="黑体" w:hAnsi="黑体" w:eastAsia="黑体" w:cs="仿宋_GB2312"/>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xml:space="preserve">  公示统计严重失信企业信息不得泄露国家秘密、商业秘密、个人隐私，不得危害国家安全和社会公共利益。</w:t>
      </w:r>
    </w:p>
    <w:p>
      <w:pPr>
        <w:widowControl/>
        <w:shd w:val="clear" w:color="FFFFFF" w:fill="FFFFFF"/>
        <w:spacing w:line="600" w:lineRule="exact"/>
        <w:ind w:firstLine="640" w:firstLineChars="200"/>
        <w:jc w:val="both"/>
        <w:rPr>
          <w:rFonts w:hint="default"/>
          <w:highlight w:val="none"/>
          <w:lang w:val="en"/>
        </w:rPr>
      </w:pPr>
      <w:r>
        <w:rPr>
          <w:rFonts w:hint="default" w:ascii="黑体" w:hAnsi="黑体" w:eastAsia="黑体" w:cs="黑体"/>
          <w:b w:val="0"/>
          <w:bCs w:val="0"/>
          <w:i w:val="0"/>
          <w:iCs w:val="0"/>
          <w:color w:val="000000"/>
          <w:kern w:val="0"/>
          <w:sz w:val="32"/>
          <w:szCs w:val="32"/>
          <w:highlight w:val="none"/>
          <w:vertAlign w:val="baseline"/>
          <w:lang w:val="en-US" w:eastAsia="zh-CN" w:bidi="ar-SA"/>
        </w:rPr>
        <w:t>第</w:t>
      </w:r>
      <w:r>
        <w:rPr>
          <w:rFonts w:hint="eastAsia" w:ascii="黑体" w:hAnsi="黑体" w:eastAsia="黑体" w:cs="黑体"/>
          <w:b w:val="0"/>
          <w:bCs w:val="0"/>
          <w:i w:val="0"/>
          <w:iCs w:val="0"/>
          <w:color w:val="000000"/>
          <w:kern w:val="0"/>
          <w:sz w:val="32"/>
          <w:szCs w:val="32"/>
          <w:highlight w:val="none"/>
          <w:vertAlign w:val="baseline"/>
          <w:lang w:val="en-US" w:eastAsia="zh-CN" w:bidi="ar-SA"/>
        </w:rPr>
        <w:t>二十</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重庆市统计局</w:t>
      </w:r>
      <w:r>
        <w:rPr>
          <w:rFonts w:hint="default" w:ascii="仿宋_GB2312" w:hAnsi="仿宋_GB2312" w:eastAsia="仿宋_GB2312" w:cs="仿宋_GB2312"/>
          <w:b w:val="0"/>
          <w:bCs w:val="0"/>
          <w:i w:val="0"/>
          <w:iCs w:val="0"/>
          <w:color w:val="000000"/>
          <w:kern w:val="0"/>
          <w:sz w:val="32"/>
          <w:szCs w:val="32"/>
          <w:highlight w:val="none"/>
          <w:vertAlign w:val="baseline"/>
          <w:lang w:val="en" w:eastAsia="zh-CN" w:bidi="ar-SA"/>
        </w:rPr>
        <w:t>应当</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在</w:t>
      </w:r>
      <w:r>
        <w:rPr>
          <w:rFonts w:hint="default" w:ascii="仿宋_GB2312" w:hAnsi="仿宋_GB2312" w:eastAsia="仿宋_GB2312" w:cs="仿宋_GB2312"/>
          <w:b w:val="0"/>
          <w:bCs w:val="0"/>
          <w:i w:val="0"/>
          <w:iCs w:val="0"/>
          <w:color w:val="000000"/>
          <w:kern w:val="0"/>
          <w:sz w:val="32"/>
          <w:szCs w:val="32"/>
          <w:highlight w:val="none"/>
          <w:vertAlign w:val="baseline"/>
          <w:lang w:val="en" w:eastAsia="zh-CN" w:bidi="ar-SA"/>
        </w:rPr>
        <w:t>本机构</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门户网站统计严重失信企业信息公示专栏向社会公示统计严重失信企业信息</w:t>
      </w:r>
      <w:r>
        <w:rPr>
          <w:rFonts w:hint="default" w:ascii="仿宋_GB2312" w:hAnsi="仿宋_GB2312" w:eastAsia="仿宋_GB2312" w:cs="仿宋_GB2312"/>
          <w:b w:val="0"/>
          <w:bCs w:val="0"/>
          <w:i w:val="0"/>
          <w:iCs w:val="0"/>
          <w:color w:val="000000"/>
          <w:kern w:val="0"/>
          <w:sz w:val="32"/>
          <w:szCs w:val="32"/>
          <w:highlight w:val="none"/>
          <w:vertAlign w:val="baseline"/>
          <w:lang w:val="en" w:eastAsia="zh-CN" w:bidi="ar-SA"/>
        </w:rPr>
        <w:t>。</w:t>
      </w:r>
    </w:p>
    <w:p>
      <w:pPr>
        <w:widowControl/>
        <w:shd w:val="clear" w:color="FFFFFF" w:fill="FFFFFF"/>
        <w:spacing w:line="600" w:lineRule="exact"/>
        <w:ind w:firstLine="616" w:firstLineChars="200"/>
        <w:jc w:val="both"/>
        <w:rPr>
          <w:highlight w:val="none"/>
        </w:rPr>
      </w:pPr>
      <w:r>
        <w:rPr>
          <w:rFonts w:hint="eastAsia" w:ascii="仿宋_GB2312" w:hAnsi="仿宋_GB2312" w:eastAsia="仿宋_GB2312" w:cs="仿宋_GB2312"/>
          <w:b w:val="0"/>
          <w:bCs w:val="0"/>
          <w:i w:val="0"/>
          <w:iCs w:val="0"/>
          <w:color w:val="000000"/>
          <w:spacing w:val="-6"/>
          <w:kern w:val="0"/>
          <w:sz w:val="32"/>
          <w:szCs w:val="32"/>
          <w:highlight w:val="none"/>
          <w:vertAlign w:val="baseline"/>
          <w:lang w:val="en-US" w:eastAsia="zh-CN" w:bidi="ar-SA"/>
        </w:rPr>
        <w:t>区县（自治县）人民政府</w:t>
      </w:r>
      <w:r>
        <w:rPr>
          <w:rFonts w:hint="default" w:ascii="仿宋_GB2312" w:hAnsi="仿宋_GB2312" w:eastAsia="仿宋_GB2312" w:cs="仿宋_GB2312"/>
          <w:b w:val="0"/>
          <w:bCs w:val="0"/>
          <w:i w:val="0"/>
          <w:iCs w:val="0"/>
          <w:color w:val="000000"/>
          <w:spacing w:val="-6"/>
          <w:kern w:val="0"/>
          <w:sz w:val="32"/>
          <w:szCs w:val="32"/>
          <w:highlight w:val="none"/>
          <w:vertAlign w:val="baseline"/>
          <w:lang w:val="en-US" w:eastAsia="zh-CN" w:bidi="ar-SA"/>
        </w:rPr>
        <w:t>统计机构</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应当在本级人民政府或本级统计机构门户网站公示统计严重失信企业信息，同时加载到</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重庆市统计局门户网站</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公示专栏。</w:t>
      </w:r>
    </w:p>
    <w:p>
      <w:pPr>
        <w:widowControl/>
        <w:shd w:val="clear" w:color="FFFFFF" w:fill="FFFFFF"/>
        <w:spacing w:line="600" w:lineRule="exact"/>
        <w:ind w:firstLine="616" w:firstLineChars="200"/>
        <w:jc w:val="both"/>
        <w:rPr>
          <w:rFonts w:hint="default" w:ascii="仿宋_GB2312" w:hAnsi="仿宋_GB2312" w:eastAsia="仿宋_GB2312" w:cs="仿宋_GB2312"/>
          <w:b w:val="0"/>
          <w:bCs w:val="0"/>
          <w:i w:val="0"/>
          <w:iCs w:val="0"/>
          <w:color w:val="000000"/>
          <w:spacing w:val="-6"/>
          <w:kern w:val="0"/>
          <w:sz w:val="32"/>
          <w:szCs w:val="32"/>
          <w:highlight w:val="none"/>
          <w:vertAlign w:val="baseline"/>
          <w:lang w:val="en" w:eastAsia="zh-CN" w:bidi="ar-SA"/>
        </w:rPr>
      </w:pPr>
      <w:r>
        <w:rPr>
          <w:rFonts w:hint="eastAsia" w:ascii="仿宋_GB2312" w:hAnsi="仿宋_GB2312" w:eastAsia="仿宋_GB2312" w:cs="仿宋_GB2312"/>
          <w:b w:val="0"/>
          <w:bCs w:val="0"/>
          <w:i w:val="0"/>
          <w:iCs w:val="0"/>
          <w:color w:val="000000"/>
          <w:spacing w:val="-6"/>
          <w:kern w:val="0"/>
          <w:sz w:val="32"/>
          <w:szCs w:val="32"/>
          <w:highlight w:val="none"/>
          <w:vertAlign w:val="baseline"/>
          <w:lang w:val="en-US" w:eastAsia="zh-CN" w:bidi="ar-SA"/>
        </w:rPr>
        <w:t>区县（自治县）人民政府</w:t>
      </w:r>
      <w:r>
        <w:rPr>
          <w:rFonts w:hint="default" w:ascii="仿宋_GB2312" w:hAnsi="仿宋_GB2312" w:eastAsia="仿宋_GB2312" w:cs="仿宋_GB2312"/>
          <w:b w:val="0"/>
          <w:bCs w:val="0"/>
          <w:i w:val="0"/>
          <w:iCs w:val="0"/>
          <w:color w:val="000000"/>
          <w:spacing w:val="-6"/>
          <w:kern w:val="0"/>
          <w:sz w:val="32"/>
          <w:szCs w:val="32"/>
          <w:highlight w:val="none"/>
          <w:vertAlign w:val="baseline"/>
          <w:lang w:val="en-US" w:eastAsia="zh-CN" w:bidi="ar-SA"/>
        </w:rPr>
        <w:t>统计机构认定的统计严重失信企业信息，按要求在认定后5个工作日内报送</w:t>
      </w:r>
      <w:r>
        <w:rPr>
          <w:rFonts w:hint="eastAsia" w:ascii="仿宋_GB2312" w:hAnsi="仿宋_GB2312" w:eastAsia="仿宋_GB2312" w:cs="仿宋_GB2312"/>
          <w:b w:val="0"/>
          <w:bCs w:val="0"/>
          <w:i w:val="0"/>
          <w:iCs w:val="0"/>
          <w:color w:val="000000"/>
          <w:spacing w:val="-6"/>
          <w:kern w:val="0"/>
          <w:sz w:val="32"/>
          <w:szCs w:val="32"/>
          <w:highlight w:val="none"/>
          <w:vertAlign w:val="baseline"/>
          <w:lang w:val="en-US" w:eastAsia="zh-CN" w:bidi="ar-SA"/>
        </w:rPr>
        <w:t>重庆市统计局</w:t>
      </w:r>
      <w:r>
        <w:rPr>
          <w:rFonts w:hint="default" w:ascii="仿宋_GB2312" w:hAnsi="仿宋_GB2312" w:eastAsia="仿宋_GB2312" w:cs="仿宋_GB2312"/>
          <w:b w:val="0"/>
          <w:bCs w:val="0"/>
          <w:i w:val="0"/>
          <w:iCs w:val="0"/>
          <w:color w:val="000000"/>
          <w:spacing w:val="-6"/>
          <w:kern w:val="0"/>
          <w:sz w:val="32"/>
          <w:szCs w:val="32"/>
          <w:highlight w:val="none"/>
          <w:vertAlign w:val="baseline"/>
          <w:lang w:val="en" w:eastAsia="zh-CN" w:bidi="ar-SA"/>
        </w:rPr>
        <w:t>。</w:t>
      </w:r>
    </w:p>
    <w:p>
      <w:pPr>
        <w:widowControl/>
        <w:shd w:val="clear" w:color="FFFFFF" w:fill="FFFFFF"/>
        <w:spacing w:line="600" w:lineRule="exact"/>
        <w:ind w:firstLine="616" w:firstLineChars="200"/>
        <w:jc w:val="both"/>
        <w:rPr>
          <w:rFonts w:hint="default"/>
          <w:lang w:val="en"/>
        </w:rPr>
      </w:pPr>
      <w:r>
        <w:rPr>
          <w:rFonts w:hint="eastAsia" w:ascii="仿宋_GB2312" w:hAnsi="仿宋_GB2312" w:eastAsia="仿宋_GB2312" w:cs="仿宋_GB2312"/>
          <w:b w:val="0"/>
          <w:bCs w:val="0"/>
          <w:i w:val="0"/>
          <w:iCs w:val="0"/>
          <w:color w:val="000000"/>
          <w:spacing w:val="-6"/>
          <w:kern w:val="0"/>
          <w:sz w:val="32"/>
          <w:szCs w:val="32"/>
          <w:highlight w:val="none"/>
          <w:vertAlign w:val="baseline"/>
          <w:lang w:val="en-US" w:eastAsia="zh-CN" w:bidi="ar-SA"/>
        </w:rPr>
        <w:t>重庆市统计局</w:t>
      </w:r>
      <w:r>
        <w:rPr>
          <w:rFonts w:hint="default" w:ascii="仿宋_GB2312" w:hAnsi="仿宋_GB2312" w:eastAsia="仿宋_GB2312" w:cs="仿宋_GB2312"/>
          <w:b w:val="0"/>
          <w:bCs w:val="0"/>
          <w:i w:val="0"/>
          <w:iCs w:val="0"/>
          <w:color w:val="000000"/>
          <w:spacing w:val="-6"/>
          <w:kern w:val="0"/>
          <w:sz w:val="32"/>
          <w:szCs w:val="32"/>
          <w:highlight w:val="none"/>
          <w:vertAlign w:val="baseline"/>
          <w:lang w:val="en" w:eastAsia="zh-CN" w:bidi="ar-SA"/>
        </w:rPr>
        <w:t>应当及时收集本机构及区县（自治县）人民政府统计机构认定的统计严重失信企业信息，按要求报送</w:t>
      </w:r>
      <w:r>
        <w:rPr>
          <w:rFonts w:hint="default" w:ascii="仿宋_GB2312" w:hAnsi="仿宋_GB2312" w:eastAsia="仿宋_GB2312" w:cs="仿宋_GB2312"/>
          <w:b w:val="0"/>
          <w:bCs w:val="0"/>
          <w:i w:val="0"/>
          <w:iCs w:val="0"/>
          <w:color w:val="000000"/>
          <w:spacing w:val="-6"/>
          <w:kern w:val="0"/>
          <w:sz w:val="32"/>
          <w:szCs w:val="32"/>
          <w:highlight w:val="none"/>
          <w:vertAlign w:val="baseline"/>
          <w:lang w:val="en-US" w:eastAsia="zh-CN" w:bidi="ar-SA"/>
        </w:rPr>
        <w:t>国家统计局</w:t>
      </w:r>
      <w:r>
        <w:rPr>
          <w:rFonts w:hint="default" w:ascii="仿宋_GB2312" w:hAnsi="仿宋_GB2312" w:eastAsia="仿宋_GB2312" w:cs="仿宋_GB2312"/>
          <w:b w:val="0"/>
          <w:bCs w:val="0"/>
          <w:i w:val="0"/>
          <w:iCs w:val="0"/>
          <w:color w:val="000000"/>
          <w:spacing w:val="-6"/>
          <w:kern w:val="0"/>
          <w:sz w:val="32"/>
          <w:szCs w:val="32"/>
          <w:highlight w:val="none"/>
          <w:vertAlign w:val="baseline"/>
          <w:lang w:val="en" w:eastAsia="zh-CN" w:bidi="ar-SA"/>
        </w:rPr>
        <w:t>，并</w:t>
      </w:r>
      <w:r>
        <w:rPr>
          <w:rFonts w:hint="default" w:ascii="仿宋_GB2312" w:hAnsi="仿宋_GB2312" w:eastAsia="仿宋_GB2312" w:cs="仿宋_GB2312"/>
          <w:b w:val="0"/>
          <w:bCs w:val="0"/>
          <w:i w:val="0"/>
          <w:iCs w:val="0"/>
          <w:color w:val="000000"/>
          <w:spacing w:val="-6"/>
          <w:kern w:val="0"/>
          <w:sz w:val="32"/>
          <w:szCs w:val="32"/>
          <w:highlight w:val="none"/>
          <w:vertAlign w:val="baseline"/>
          <w:lang w:val="en-US" w:eastAsia="zh-CN" w:bidi="ar-SA"/>
        </w:rPr>
        <w:t>统一按规定</w:t>
      </w:r>
      <w:r>
        <w:rPr>
          <w:rFonts w:hint="default" w:ascii="仿宋_GB2312" w:hAnsi="仿宋_GB2312" w:eastAsia="仿宋_GB2312" w:cs="仿宋_GB2312"/>
          <w:b w:val="0"/>
          <w:bCs w:val="0"/>
          <w:i w:val="0"/>
          <w:iCs w:val="0"/>
          <w:color w:val="000000"/>
          <w:kern w:val="0"/>
          <w:sz w:val="32"/>
          <w:szCs w:val="32"/>
          <w:highlight w:val="none"/>
          <w:vertAlign w:val="baseline"/>
          <w:lang w:val="en" w:eastAsia="zh-CN" w:bidi="ar-SA"/>
        </w:rPr>
        <w:t>推送至重庆市公共信用信息平台和国家企业信用信息公示系统（重庆），同时在</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“信用中国（重庆）”网站</w:t>
      </w:r>
      <w:r>
        <w:rPr>
          <w:rFonts w:hint="default" w:ascii="仿宋_GB2312" w:hAnsi="仿宋_GB2312" w:eastAsia="仿宋_GB2312" w:cs="仿宋_GB2312"/>
          <w:b w:val="0"/>
          <w:bCs w:val="0"/>
          <w:i w:val="0"/>
          <w:iCs w:val="0"/>
          <w:color w:val="000000"/>
          <w:kern w:val="0"/>
          <w:sz w:val="32"/>
          <w:szCs w:val="32"/>
          <w:highlight w:val="none"/>
          <w:vertAlign w:val="baseline"/>
          <w:lang w:val="en" w:eastAsia="zh-CN" w:bidi="ar-SA"/>
        </w:rPr>
        <w:t>公示。</w:t>
      </w:r>
    </w:p>
    <w:p>
      <w:pPr>
        <w:widowControl/>
        <w:shd w:val="clear" w:color="FFFFFF" w:fill="FFFFFF"/>
        <w:spacing w:line="600" w:lineRule="exact"/>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 xml:space="preserve">    第</w:t>
      </w:r>
      <w:r>
        <w:rPr>
          <w:rFonts w:hint="eastAsia" w:ascii="黑体" w:hAnsi="黑体" w:eastAsia="黑体" w:cs="黑体"/>
          <w:b w:val="0"/>
          <w:bCs w:val="0"/>
          <w:i w:val="0"/>
          <w:iCs w:val="0"/>
          <w:color w:val="000000"/>
          <w:kern w:val="0"/>
          <w:sz w:val="32"/>
          <w:szCs w:val="32"/>
          <w:highlight w:val="none"/>
          <w:vertAlign w:val="baseline"/>
          <w:lang w:val="en-US" w:eastAsia="zh-CN" w:bidi="ar-SA"/>
        </w:rPr>
        <w:t>二十一</w:t>
      </w:r>
      <w:r>
        <w:rPr>
          <w:rFonts w:hint="default" w:ascii="黑体" w:hAnsi="黑体" w:eastAsia="黑体" w:cs="黑体"/>
          <w:b w:val="0"/>
          <w:bCs w:val="0"/>
          <w:i w:val="0"/>
          <w:iCs w:val="0"/>
          <w:color w:val="000000"/>
          <w:kern w:val="0"/>
          <w:sz w:val="32"/>
          <w:szCs w:val="32"/>
          <w:highlight w:val="none"/>
          <w:vertAlign w:val="baseline"/>
          <w:lang w:val="en-US" w:eastAsia="zh-CN" w:bidi="ar-SA"/>
        </w:rPr>
        <w:t>条　</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统计严重失信企业的公示期为1年。公示期限届满3日内</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，统计机构应当将统计严重失信信息移出本级人民政府或者统计机构门户网站，并同步在</w:t>
      </w:r>
      <w:r>
        <w:rPr>
          <w:rFonts w:hint="default" w:ascii="仿宋_GB2312" w:hAnsi="仿宋_GB2312" w:eastAsia="仿宋_GB2312" w:cs="仿宋_GB2312"/>
          <w:b w:val="0"/>
          <w:bCs w:val="0"/>
          <w:i w:val="0"/>
          <w:iCs w:val="0"/>
          <w:color w:val="000000"/>
          <w:kern w:val="0"/>
          <w:sz w:val="32"/>
          <w:szCs w:val="32"/>
          <w:highlight w:val="none"/>
          <w:vertAlign w:val="baseline"/>
          <w:lang w:val="en" w:eastAsia="zh-CN" w:bidi="ar-SA"/>
        </w:rPr>
        <w:t>重庆市公共信用信息平台</w:t>
      </w:r>
      <w:r>
        <w:rPr>
          <w:rFonts w:hint="eastAsia" w:ascii="仿宋_GB2312" w:hAnsi="仿宋_GB2312" w:eastAsia="仿宋_GB2312" w:cs="仿宋_GB2312"/>
          <w:b w:val="0"/>
          <w:bCs w:val="0"/>
          <w:i w:val="0"/>
          <w:iCs w:val="0"/>
          <w:color w:val="000000"/>
          <w:kern w:val="0"/>
          <w:sz w:val="32"/>
          <w:szCs w:val="32"/>
          <w:highlight w:val="none"/>
          <w:vertAlign w:val="baseline"/>
          <w:lang w:val="en" w:eastAsia="zh-CN" w:bidi="ar-SA"/>
        </w:rPr>
        <w:t>、</w:t>
      </w:r>
      <w:r>
        <w:rPr>
          <w:rFonts w:hint="default" w:ascii="仿宋_GB2312" w:hAnsi="仿宋_GB2312" w:eastAsia="仿宋_GB2312" w:cs="仿宋_GB2312"/>
          <w:b w:val="0"/>
          <w:bCs w:val="0"/>
          <w:i w:val="0"/>
          <w:iCs w:val="0"/>
          <w:color w:val="000000"/>
          <w:kern w:val="0"/>
          <w:sz w:val="32"/>
          <w:szCs w:val="32"/>
          <w:highlight w:val="none"/>
          <w:vertAlign w:val="baseline"/>
          <w:lang w:val="en" w:eastAsia="zh-CN" w:bidi="ar-SA"/>
        </w:rPr>
        <w:t>国家企业信用信息公示系统（重庆）</w:t>
      </w:r>
      <w:r>
        <w:rPr>
          <w:rFonts w:hint="eastAsia" w:ascii="仿宋_GB2312" w:hAnsi="仿宋_GB2312" w:eastAsia="仿宋_GB2312" w:cs="仿宋_GB2312"/>
          <w:b w:val="0"/>
          <w:bCs w:val="0"/>
          <w:i w:val="0"/>
          <w:iCs w:val="0"/>
          <w:color w:val="000000"/>
          <w:kern w:val="0"/>
          <w:sz w:val="32"/>
          <w:szCs w:val="32"/>
          <w:highlight w:val="none"/>
          <w:vertAlign w:val="baseline"/>
          <w:lang w:val="en" w:eastAsia="zh-CN" w:bidi="ar-SA"/>
        </w:rPr>
        <w:t>和信用中国（重庆）网站</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移除相关公示信息。</w:t>
      </w:r>
    </w:p>
    <w:p>
      <w:pPr>
        <w:widowControl/>
        <w:shd w:val="clear" w:color="FFFFFF" w:fill="FFFFFF"/>
        <w:spacing w:line="600" w:lineRule="exact"/>
        <w:ind w:firstLine="640"/>
        <w:jc w:val="both"/>
      </w:pP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被认定为统计严重失信企业之日起2年内，企业再次被认定为统计严重失信企业的，自再次认定之日起公示3年。</w:t>
      </w:r>
    </w:p>
    <w:p>
      <w:pPr>
        <w:widowControl/>
        <w:shd w:val="clear" w:color="FFFFFF" w:fill="FFFFFF"/>
        <w:spacing w:line="600" w:lineRule="exact"/>
        <w:ind w:firstLine="640" w:firstLineChars="20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w:t>
      </w:r>
      <w:r>
        <w:rPr>
          <w:rFonts w:hint="default" w:ascii="黑体" w:hAnsi="黑体" w:eastAsia="黑体" w:cs="黑体"/>
          <w:b w:val="0"/>
          <w:bCs w:val="0"/>
          <w:i w:val="0"/>
          <w:iCs w:val="0"/>
          <w:color w:val="000000"/>
          <w:kern w:val="0"/>
          <w:sz w:val="32"/>
          <w:szCs w:val="32"/>
          <w:highlight w:val="none"/>
          <w:vertAlign w:val="baseline"/>
          <w:lang w:val="en" w:eastAsia="zh-CN" w:bidi="ar-SA"/>
        </w:rPr>
        <w:t>二十</w:t>
      </w:r>
      <w:r>
        <w:rPr>
          <w:rFonts w:hint="eastAsia" w:ascii="黑体" w:hAnsi="黑体" w:eastAsia="黑体" w:cs="黑体"/>
          <w:b w:val="0"/>
          <w:bCs w:val="0"/>
          <w:i w:val="0"/>
          <w:iCs w:val="0"/>
          <w:color w:val="000000"/>
          <w:kern w:val="0"/>
          <w:sz w:val="32"/>
          <w:szCs w:val="32"/>
          <w:highlight w:val="none"/>
          <w:vertAlign w:val="baseline"/>
          <w:lang w:val="en" w:eastAsia="zh-CN" w:bidi="ar-SA"/>
        </w:rPr>
        <w:t>二</w:t>
      </w:r>
      <w:r>
        <w:rPr>
          <w:rFonts w:hint="default" w:ascii="黑体" w:hAnsi="黑体" w:eastAsia="黑体" w:cs="黑体"/>
          <w:b w:val="0"/>
          <w:bCs w:val="0"/>
          <w:i w:val="0"/>
          <w:iCs w:val="0"/>
          <w:color w:val="000000"/>
          <w:kern w:val="0"/>
          <w:sz w:val="32"/>
          <w:szCs w:val="32"/>
          <w:highlight w:val="none"/>
          <w:vertAlign w:val="baseline"/>
          <w:lang w:val="en-US" w:eastAsia="zh-CN" w:bidi="ar-SA"/>
        </w:rPr>
        <w:t>条　</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统计严重失信企业公示满6个月后，已经履行行政处罚决定、改正统计违法行为且未再发生统计违法行为的，可以向作出认定的统计机构提出信用修复申请。</w:t>
      </w:r>
    </w:p>
    <w:p>
      <w:pPr>
        <w:widowControl/>
        <w:shd w:val="clear" w:color="FFFFFF" w:fill="FFFFFF"/>
        <w:spacing w:line="600" w:lineRule="exact"/>
        <w:ind w:firstLine="640" w:firstLineChars="20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第二十</w:t>
      </w:r>
      <w:r>
        <w:rPr>
          <w:rFonts w:hint="eastAsia" w:ascii="黑体" w:hAnsi="黑体" w:eastAsia="黑体" w:cs="黑体"/>
          <w:b w:val="0"/>
          <w:bCs w:val="0"/>
          <w:i w:val="0"/>
          <w:iCs w:val="0"/>
          <w:color w:val="000000"/>
          <w:kern w:val="0"/>
          <w:sz w:val="32"/>
          <w:szCs w:val="32"/>
          <w:highlight w:val="none"/>
          <w:vertAlign w:val="baseline"/>
          <w:lang w:val="en" w:eastAsia="zh-CN" w:bidi="ar-SA"/>
        </w:rPr>
        <w:t>三</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申请信用修复的企业，应当向作出认定的统计机构提交信用修复申请书（附件1），包括履行行政处罚决定、整改到位证明材料及统计守信承诺等内容。</w:t>
      </w:r>
    </w:p>
    <w:p>
      <w:pPr>
        <w:widowControl/>
        <w:shd w:val="clear" w:color="FFFFFF" w:fill="FFFFFF"/>
        <w:spacing w:line="600" w:lineRule="exact"/>
        <w:ind w:firstLine="640" w:firstLineChars="20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第二十</w:t>
      </w:r>
      <w:r>
        <w:rPr>
          <w:rFonts w:hint="eastAsia" w:ascii="黑体" w:hAnsi="黑体" w:eastAsia="黑体" w:cs="黑体"/>
          <w:b w:val="0"/>
          <w:bCs w:val="0"/>
          <w:i w:val="0"/>
          <w:iCs w:val="0"/>
          <w:color w:val="000000"/>
          <w:kern w:val="0"/>
          <w:sz w:val="32"/>
          <w:szCs w:val="32"/>
          <w:highlight w:val="none"/>
          <w:vertAlign w:val="baseline"/>
          <w:lang w:val="en" w:eastAsia="zh-CN" w:bidi="ar-SA"/>
        </w:rPr>
        <w:t>四</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统计机构应当在收到企业统计信用修复申请书之日起20个工作日内，对统计严重失信企业的整改情况进行核实，并作出决定。</w:t>
      </w:r>
    </w:p>
    <w:p>
      <w:pPr>
        <w:widowControl/>
        <w:shd w:val="clear" w:color="FFFFFF" w:fill="FFFFFF"/>
        <w:spacing w:line="600" w:lineRule="exact"/>
        <w:ind w:firstLine="640" w:firstLineChars="200"/>
        <w:jc w:val="both"/>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同意信用修复的，统计机构应当及时出具企业统计信用修复确认通知书（附件2），将统计严重失信信息移出</w:t>
      </w:r>
      <w:r>
        <w:rPr>
          <w:rFonts w:hint="default" w:ascii="仿宋_GB2312" w:hAnsi="仿宋_GB2312" w:eastAsia="仿宋_GB2312" w:cs="仿宋_GB2312"/>
          <w:b w:val="0"/>
          <w:bCs w:val="0"/>
          <w:i w:val="0"/>
          <w:iCs w:val="0"/>
          <w:color w:val="auto"/>
          <w:kern w:val="0"/>
          <w:sz w:val="32"/>
          <w:szCs w:val="32"/>
          <w:highlight w:val="none"/>
          <w:vertAlign w:val="baseline"/>
          <w:lang w:val="en-US" w:eastAsia="zh-CN" w:bidi="ar-SA"/>
        </w:rPr>
        <w:t>本级人民政府或者统计机构门户网站</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，并同步将修复信息推送至</w:t>
      </w:r>
      <w:r>
        <w:rPr>
          <w:rFonts w:hint="default" w:ascii="仿宋_GB2312" w:hAnsi="仿宋_GB2312" w:eastAsia="仿宋_GB2312" w:cs="仿宋_GB2312"/>
          <w:b w:val="0"/>
          <w:bCs w:val="0"/>
          <w:i w:val="0"/>
          <w:iCs w:val="0"/>
          <w:color w:val="000000"/>
          <w:kern w:val="0"/>
          <w:sz w:val="32"/>
          <w:szCs w:val="32"/>
          <w:highlight w:val="none"/>
          <w:vertAlign w:val="baseline"/>
          <w:lang w:val="en" w:eastAsia="zh-CN" w:bidi="ar-SA"/>
        </w:rPr>
        <w:t>重庆市公共信用信息平台和国家企业信用信息公示系统（重庆）</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w:t>
      </w:r>
    </w:p>
    <w:p>
      <w:pPr>
        <w:widowControl/>
        <w:shd w:val="clear" w:color="FFFFFF" w:fill="FFFFFF"/>
        <w:spacing w:line="600" w:lineRule="exact"/>
        <w:ind w:firstLine="640" w:firstLineChars="2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不同意信用修复的，统计机构应当出具不予信用修复告知书（附件3），并说明理由。</w:t>
      </w:r>
    </w:p>
    <w:p>
      <w:pPr>
        <w:shd w:val="clear" w:color="FFFFFF" w:fill="FFFFFF"/>
        <w:spacing w:line="600" w:lineRule="exact"/>
        <w:ind w:firstLine="640"/>
        <w:jc w:val="both"/>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default" w:ascii="黑体" w:hAnsi="黑体" w:eastAsia="黑体" w:cs="黑体"/>
          <w:b w:val="0"/>
          <w:bCs w:val="0"/>
          <w:i w:val="0"/>
          <w:iCs w:val="0"/>
          <w:color w:val="000000"/>
          <w:kern w:val="0"/>
          <w:sz w:val="32"/>
          <w:szCs w:val="32"/>
          <w:highlight w:val="none"/>
          <w:vertAlign w:val="baseline"/>
          <w:lang w:val="en-US" w:eastAsia="zh-CN" w:bidi="ar-SA"/>
        </w:rPr>
        <w:t>第二十</w:t>
      </w:r>
      <w:r>
        <w:rPr>
          <w:rFonts w:hint="eastAsia" w:ascii="黑体" w:hAnsi="黑体" w:eastAsia="黑体" w:cs="黑体"/>
          <w:b w:val="0"/>
          <w:bCs w:val="0"/>
          <w:i w:val="0"/>
          <w:iCs w:val="0"/>
          <w:color w:val="000000"/>
          <w:kern w:val="0"/>
          <w:sz w:val="32"/>
          <w:szCs w:val="32"/>
          <w:highlight w:val="none"/>
          <w:vertAlign w:val="baseline"/>
          <w:lang w:val="en" w:eastAsia="zh-CN" w:bidi="ar-SA"/>
        </w:rPr>
        <w:t>五</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统计严重失信企业弄虚作假骗取信用修复的，作出认定的统计机构应当撤销信用修复的决定，并自撤销之日起重新公示1年。</w:t>
      </w:r>
    </w:p>
    <w:p>
      <w:pPr>
        <w:pStyle w:val="2"/>
        <w:rPr>
          <w:rFonts w:hint="default"/>
          <w:lang w:val="en-US" w:eastAsia="zh-CN"/>
        </w:rPr>
      </w:pPr>
    </w:p>
    <w:p>
      <w:pPr>
        <w:shd w:val="clear" w:color="auto" w:fill="FFFFFF"/>
        <w:spacing w:line="600" w:lineRule="exact"/>
        <w:jc w:val="cente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章　</w:t>
      </w:r>
      <w:r>
        <w:rPr>
          <w:rFonts w:hint="eastAsia" w:ascii="黑体" w:hAnsi="黑体" w:eastAsia="黑体" w:cs="黑体"/>
          <w:color w:val="000000"/>
          <w:kern w:val="0"/>
          <w:sz w:val="32"/>
          <w:szCs w:val="32"/>
          <w:lang w:eastAsia="zh-CN"/>
        </w:rPr>
        <w:t>救济和监督</w:t>
      </w:r>
    </w:p>
    <w:p>
      <w:pPr>
        <w:pStyle w:val="2"/>
      </w:pPr>
    </w:p>
    <w:p>
      <w:pPr>
        <w:widowControl/>
        <w:shd w:val="clear" w:color="FFFFFF" w:fill="FFFFFF"/>
        <w:spacing w:line="600" w:lineRule="exact"/>
        <w:ind w:firstLine="640" w:firstLineChars="20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第二十</w:t>
      </w:r>
      <w:r>
        <w:rPr>
          <w:rFonts w:hint="eastAsia" w:ascii="黑体" w:hAnsi="黑体" w:eastAsia="黑体" w:cs="黑体"/>
          <w:b w:val="0"/>
          <w:bCs w:val="0"/>
          <w:i w:val="0"/>
          <w:iCs w:val="0"/>
          <w:color w:val="000000"/>
          <w:kern w:val="0"/>
          <w:sz w:val="32"/>
          <w:szCs w:val="32"/>
          <w:highlight w:val="none"/>
          <w:vertAlign w:val="baseline"/>
          <w:lang w:val="en" w:eastAsia="zh-CN" w:bidi="ar-SA"/>
        </w:rPr>
        <w:t>六</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作出认定的统计机构发现企业统计信用评价等级认定的依据或者公示的信息不准确，应当在2个工作日内更正。</w:t>
      </w:r>
    </w:p>
    <w:p>
      <w:pPr>
        <w:widowControl/>
        <w:shd w:val="clear" w:color="FFFFFF" w:fill="FFFFFF"/>
        <w:spacing w:line="600" w:lineRule="exact"/>
        <w:ind w:firstLine="616" w:firstLineChars="200"/>
        <w:jc w:val="both"/>
      </w:pPr>
      <w:r>
        <w:rPr>
          <w:rFonts w:hint="eastAsia" w:ascii="仿宋_GB2312" w:hAnsi="仿宋_GB2312" w:eastAsia="仿宋_GB2312" w:cs="仿宋_GB2312"/>
          <w:b w:val="0"/>
          <w:bCs w:val="0"/>
          <w:i w:val="0"/>
          <w:iCs w:val="0"/>
          <w:color w:val="000000"/>
          <w:spacing w:val="-6"/>
          <w:kern w:val="0"/>
          <w:sz w:val="32"/>
          <w:szCs w:val="32"/>
          <w:highlight w:val="none"/>
          <w:vertAlign w:val="baseline"/>
          <w:lang w:val="en-US" w:eastAsia="zh-CN" w:bidi="ar-SA"/>
        </w:rPr>
        <w:t>重庆市统计局</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发现</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区县（自治县）人民政府</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统计机构</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企业统计信用评价等级</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认定的依据或者公示的信息不准确，应当要求</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区县（自治县）人民政府</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统计机构在2个工作日内更正。</w:t>
      </w:r>
    </w:p>
    <w:p>
      <w:pPr>
        <w:widowControl/>
        <w:shd w:val="clear" w:color="FFFFFF" w:fill="FFFFFF"/>
        <w:spacing w:line="600" w:lineRule="exact"/>
        <w:ind w:firstLine="640" w:firstLineChars="2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企业有证据证明其被认定的依据或者公示的信息不准确，可以填报企业统计信用异议信息处理申请表（附件4）要求作出认定决定的统计机构进行更正。统计机构经核实后，应当在2个工作日内出具企业统计信用异议信息处理结果反馈单（附件5），确认信息不准确的应当及时更正。</w:t>
      </w:r>
    </w:p>
    <w:p>
      <w:pPr>
        <w:spacing w:line="600" w:lineRule="exact"/>
        <w:ind w:firstLine="640" w:firstLineChars="200"/>
        <w:jc w:val="both"/>
        <w:rPr>
          <w:rFonts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default" w:ascii="黑体" w:hAnsi="黑体" w:eastAsia="黑体" w:cs="黑体"/>
          <w:b w:val="0"/>
          <w:bCs w:val="0"/>
          <w:i w:val="0"/>
          <w:iCs w:val="0"/>
          <w:color w:val="000000"/>
          <w:kern w:val="0"/>
          <w:sz w:val="32"/>
          <w:szCs w:val="32"/>
          <w:highlight w:val="none"/>
          <w:vertAlign w:val="baseline"/>
          <w:lang w:val="en-US" w:eastAsia="zh-CN" w:bidi="ar-SA"/>
        </w:rPr>
        <w:t>第二十</w:t>
      </w:r>
      <w:r>
        <w:rPr>
          <w:rFonts w:hint="eastAsia" w:ascii="黑体" w:hAnsi="黑体" w:eastAsia="黑体" w:cs="黑体"/>
          <w:b w:val="0"/>
          <w:bCs w:val="0"/>
          <w:i w:val="0"/>
          <w:iCs w:val="0"/>
          <w:color w:val="000000"/>
          <w:kern w:val="0"/>
          <w:sz w:val="32"/>
          <w:szCs w:val="32"/>
          <w:highlight w:val="none"/>
          <w:vertAlign w:val="baseline"/>
          <w:lang w:val="en" w:eastAsia="zh-CN" w:bidi="ar-SA"/>
        </w:rPr>
        <w:t>七</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eastAsia" w:ascii="黑体" w:hAnsi="黑体" w:eastAsia="黑体" w:cs="黑体"/>
          <w:b w:val="0"/>
          <w:bCs w:val="0"/>
          <w:i w:val="0"/>
          <w:iCs w:val="0"/>
          <w:color w:val="000000"/>
          <w:kern w:val="0"/>
          <w:sz w:val="32"/>
          <w:szCs w:val="32"/>
          <w:highlight w:val="none"/>
          <w:vertAlign w:val="baseline"/>
          <w:lang w:val="en-US" w:eastAsia="zh-CN" w:bidi="ar-SA"/>
        </w:rPr>
        <w:t xml:space="preserve">  </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统计严重失信企业对统计机构作出的认定决定或者信用修复决定不服，可以依法申请行政复议或者提起行政诉讼。</w:t>
      </w:r>
    </w:p>
    <w:p>
      <w:pPr>
        <w:widowControl/>
        <w:shd w:val="clear" w:color="FFFFFF" w:fill="FFFFFF"/>
        <w:spacing w:line="600" w:lineRule="exact"/>
        <w:ind w:firstLine="64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第二十</w:t>
      </w:r>
      <w:r>
        <w:rPr>
          <w:rFonts w:hint="eastAsia" w:ascii="黑体" w:hAnsi="黑体" w:eastAsia="黑体" w:cs="黑体"/>
          <w:b w:val="0"/>
          <w:bCs w:val="0"/>
          <w:i w:val="0"/>
          <w:iCs w:val="0"/>
          <w:color w:val="000000"/>
          <w:kern w:val="0"/>
          <w:sz w:val="32"/>
          <w:szCs w:val="32"/>
          <w:highlight w:val="none"/>
          <w:vertAlign w:val="baseline"/>
          <w:lang w:val="en" w:eastAsia="zh-CN" w:bidi="ar-SA"/>
        </w:rPr>
        <w:t>八</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xml:space="preserve">  任何单位和个人有权举报企业统计失信行为和统计机构在统计失信企业信用管理工作中的违法行为。</w:t>
      </w:r>
    </w:p>
    <w:p>
      <w:pPr>
        <w:widowControl/>
        <w:shd w:val="clear" w:color="FFFFFF" w:fill="FFFFFF"/>
        <w:spacing w:line="600" w:lineRule="exact"/>
        <w:ind w:firstLine="640"/>
        <w:jc w:val="both"/>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default" w:ascii="黑体" w:hAnsi="黑体" w:eastAsia="黑体" w:cs="黑体"/>
          <w:b w:val="0"/>
          <w:bCs w:val="0"/>
          <w:i w:val="0"/>
          <w:iCs w:val="0"/>
          <w:color w:val="000000"/>
          <w:kern w:val="0"/>
          <w:sz w:val="32"/>
          <w:szCs w:val="32"/>
          <w:highlight w:val="none"/>
          <w:vertAlign w:val="baseline"/>
          <w:lang w:val="en-US" w:eastAsia="zh-CN" w:bidi="ar-SA"/>
        </w:rPr>
        <w:t>第二十</w:t>
      </w:r>
      <w:r>
        <w:rPr>
          <w:rFonts w:hint="eastAsia" w:ascii="黑体" w:hAnsi="黑体" w:eastAsia="黑体" w:cs="黑体"/>
          <w:b w:val="0"/>
          <w:bCs w:val="0"/>
          <w:i w:val="0"/>
          <w:iCs w:val="0"/>
          <w:color w:val="000000"/>
          <w:kern w:val="0"/>
          <w:sz w:val="32"/>
          <w:szCs w:val="32"/>
          <w:highlight w:val="none"/>
          <w:vertAlign w:val="baseline"/>
          <w:lang w:val="en" w:eastAsia="zh-CN" w:bidi="ar-SA"/>
        </w:rPr>
        <w:t>九</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w:t>
      </w:r>
      <w:r>
        <w:rPr>
          <w:rFonts w:hint="eastAsia" w:eastAsia="方正仿宋_GBK" w:cs="宋体"/>
          <w:b w:val="0"/>
          <w:bCs w:val="0"/>
          <w:i w:val="0"/>
          <w:iCs w:val="0"/>
          <w:color w:val="auto"/>
          <w:kern w:val="2"/>
          <w:sz w:val="32"/>
          <w:szCs w:val="32"/>
          <w:highlight w:val="none"/>
          <w:vertAlign w:val="baseline"/>
          <w:lang w:val="en-US" w:eastAsia="zh-CN" w:bidi="ar-SA"/>
        </w:rPr>
        <w:t>区县（自治县）人民政府</w:t>
      </w:r>
      <w:r>
        <w:rPr>
          <w:rFonts w:hint="default" w:ascii="Calibri" w:hAnsi="Calibri" w:eastAsia="方正仿宋_GBK" w:cs="宋体"/>
          <w:b w:val="0"/>
          <w:bCs w:val="0"/>
          <w:i w:val="0"/>
          <w:iCs w:val="0"/>
          <w:color w:val="auto"/>
          <w:kern w:val="2"/>
          <w:sz w:val="32"/>
          <w:szCs w:val="32"/>
          <w:highlight w:val="none"/>
          <w:vertAlign w:val="baseline"/>
          <w:lang w:val="en-US" w:eastAsia="zh-CN" w:bidi="ar-SA"/>
        </w:rPr>
        <w:t>统计机构</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未按本办法履行职责的，由</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重庆市统计局</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责令改正；情节严重的，对负有责任的主管人员和其他直接责任人员依法依规追究责任。</w:t>
      </w:r>
    </w:p>
    <w:p>
      <w:pPr>
        <w:pStyle w:val="2"/>
        <w:rPr>
          <w:rFonts w:hint="default"/>
          <w:lang w:val="en-US" w:eastAsia="zh-CN"/>
        </w:rPr>
      </w:pPr>
    </w:p>
    <w:p>
      <w:pPr>
        <w:shd w:val="clear" w:color="auto" w:fill="FFFFFF"/>
        <w:spacing w:line="600" w:lineRule="exact"/>
        <w:jc w:val="cente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章　</w:t>
      </w:r>
      <w:r>
        <w:rPr>
          <w:rFonts w:hint="eastAsia" w:ascii="黑体" w:hAnsi="黑体" w:eastAsia="黑体" w:cs="黑体"/>
          <w:color w:val="000000"/>
          <w:kern w:val="0"/>
          <w:sz w:val="32"/>
          <w:szCs w:val="32"/>
          <w:lang w:eastAsia="zh-CN"/>
        </w:rPr>
        <w:t>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lang w:eastAsia="zh-CN"/>
        </w:rPr>
        <w:t>则</w:t>
      </w:r>
    </w:p>
    <w:p>
      <w:pPr>
        <w:pStyle w:val="2"/>
      </w:pPr>
    </w:p>
    <w:p>
      <w:pPr>
        <w:widowControl/>
        <w:shd w:val="clear" w:color="FFFFFF" w:fill="FFFFFF"/>
        <w:spacing w:line="600" w:lineRule="exact"/>
        <w:ind w:firstLine="640" w:firstLineChars="200"/>
        <w:jc w:val="both"/>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default" w:ascii="黑体" w:hAnsi="黑体" w:eastAsia="黑体" w:cs="黑体"/>
          <w:b w:val="0"/>
          <w:bCs w:val="0"/>
          <w:i w:val="0"/>
          <w:iCs w:val="0"/>
          <w:color w:val="000000"/>
          <w:kern w:val="0"/>
          <w:sz w:val="32"/>
          <w:szCs w:val="32"/>
          <w:highlight w:val="none"/>
          <w:vertAlign w:val="baseline"/>
          <w:lang w:val="en-US" w:eastAsia="zh-CN" w:bidi="ar-SA"/>
        </w:rPr>
        <w:t>第</w:t>
      </w:r>
      <w:r>
        <w:rPr>
          <w:rFonts w:hint="eastAsia" w:ascii="黑体" w:hAnsi="黑体" w:eastAsia="黑体" w:cs="黑体"/>
          <w:b w:val="0"/>
          <w:bCs w:val="0"/>
          <w:i w:val="0"/>
          <w:iCs w:val="0"/>
          <w:color w:val="000000"/>
          <w:kern w:val="0"/>
          <w:sz w:val="32"/>
          <w:szCs w:val="32"/>
          <w:highlight w:val="none"/>
          <w:vertAlign w:val="baseline"/>
          <w:lang w:val="en-US" w:eastAsia="zh-CN" w:bidi="ar-SA"/>
        </w:rPr>
        <w:t>三</w:t>
      </w:r>
      <w:r>
        <w:rPr>
          <w:rFonts w:hint="default" w:ascii="黑体" w:hAnsi="黑体" w:eastAsia="黑体" w:cs="黑体"/>
          <w:b w:val="0"/>
          <w:bCs w:val="0"/>
          <w:i w:val="0"/>
          <w:iCs w:val="0"/>
          <w:color w:val="000000"/>
          <w:kern w:val="0"/>
          <w:sz w:val="32"/>
          <w:szCs w:val="32"/>
          <w:highlight w:val="none"/>
          <w:vertAlign w:val="baseline"/>
          <w:lang w:val="en-US" w:eastAsia="zh-CN" w:bidi="ar-SA"/>
        </w:rPr>
        <w:t>十条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xml:space="preserve">  </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企业统计信用认定及修复工作由本级统计机构统计执法机构统筹负责。</w:t>
      </w:r>
    </w:p>
    <w:p>
      <w:pPr>
        <w:widowControl/>
        <w:shd w:val="clear" w:color="FFFFFF" w:fill="FFFFFF"/>
        <w:spacing w:line="600" w:lineRule="exact"/>
        <w:ind w:firstLine="640" w:firstLineChars="200"/>
        <w:jc w:val="both"/>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default" w:ascii="黑体" w:hAnsi="黑体" w:eastAsia="黑体" w:cs="黑体"/>
          <w:b w:val="0"/>
          <w:bCs w:val="0"/>
          <w:i w:val="0"/>
          <w:iCs w:val="0"/>
          <w:color w:val="000000"/>
          <w:kern w:val="0"/>
          <w:sz w:val="32"/>
          <w:szCs w:val="32"/>
          <w:highlight w:val="none"/>
          <w:vertAlign w:val="baseline"/>
          <w:lang w:val="en-US" w:eastAsia="zh-CN" w:bidi="ar-SA"/>
        </w:rPr>
        <w:t>第</w:t>
      </w:r>
      <w:r>
        <w:rPr>
          <w:rFonts w:hint="eastAsia" w:ascii="黑体" w:hAnsi="黑体" w:eastAsia="黑体" w:cs="黑体"/>
          <w:b w:val="0"/>
          <w:bCs w:val="0"/>
          <w:i w:val="0"/>
          <w:iCs w:val="0"/>
          <w:color w:val="000000"/>
          <w:kern w:val="0"/>
          <w:sz w:val="32"/>
          <w:szCs w:val="32"/>
          <w:highlight w:val="none"/>
          <w:vertAlign w:val="baseline"/>
          <w:lang w:val="en-US" w:eastAsia="zh-CN" w:bidi="ar-SA"/>
        </w:rPr>
        <w:t>三</w:t>
      </w:r>
      <w:r>
        <w:rPr>
          <w:rFonts w:hint="default" w:ascii="黑体" w:hAnsi="黑体" w:eastAsia="黑体" w:cs="黑体"/>
          <w:b w:val="0"/>
          <w:bCs w:val="0"/>
          <w:i w:val="0"/>
          <w:iCs w:val="0"/>
          <w:color w:val="000000"/>
          <w:kern w:val="0"/>
          <w:sz w:val="32"/>
          <w:szCs w:val="32"/>
          <w:highlight w:val="none"/>
          <w:vertAlign w:val="baseline"/>
          <w:lang w:val="en" w:eastAsia="zh-CN" w:bidi="ar-SA"/>
        </w:rPr>
        <w:t>十</w:t>
      </w:r>
      <w:r>
        <w:rPr>
          <w:rFonts w:hint="eastAsia" w:ascii="黑体" w:hAnsi="黑体" w:eastAsia="黑体" w:cs="黑体"/>
          <w:b w:val="0"/>
          <w:bCs w:val="0"/>
          <w:i w:val="0"/>
          <w:iCs w:val="0"/>
          <w:color w:val="000000"/>
          <w:kern w:val="0"/>
          <w:sz w:val="32"/>
          <w:szCs w:val="32"/>
          <w:highlight w:val="none"/>
          <w:vertAlign w:val="baseline"/>
          <w:lang w:val="en" w:eastAsia="zh-CN" w:bidi="ar-SA"/>
        </w:rPr>
        <w:t>一</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eastAsia" w:ascii="黑体" w:hAnsi="黑体" w:eastAsia="黑体" w:cs="黑体"/>
          <w:b w:val="0"/>
          <w:bCs w:val="0"/>
          <w:i w:val="0"/>
          <w:iCs w:val="0"/>
          <w:color w:val="000000"/>
          <w:kern w:val="0"/>
          <w:sz w:val="32"/>
          <w:szCs w:val="32"/>
          <w:highlight w:val="none"/>
          <w:vertAlign w:val="baseline"/>
          <w:lang w:val="en-US" w:eastAsia="zh-CN" w:bidi="ar-SA"/>
        </w:rPr>
        <w:t xml:space="preserve">  </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承担法定的政府统计资料报送义务的其他单位，其统计信用管理参照本办法执行。</w:t>
      </w:r>
    </w:p>
    <w:p>
      <w:pPr>
        <w:widowControl/>
        <w:shd w:val="clear" w:color="FFFFFF" w:fill="FFFFFF"/>
        <w:spacing w:line="600" w:lineRule="exact"/>
        <w:ind w:firstLine="640" w:firstLineChars="20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w:t>
      </w:r>
      <w:r>
        <w:rPr>
          <w:rFonts w:hint="eastAsia" w:ascii="黑体" w:hAnsi="黑体" w:eastAsia="黑体" w:cs="黑体"/>
          <w:b w:val="0"/>
          <w:bCs w:val="0"/>
          <w:i w:val="0"/>
          <w:iCs w:val="0"/>
          <w:color w:val="000000"/>
          <w:kern w:val="0"/>
          <w:sz w:val="32"/>
          <w:szCs w:val="32"/>
          <w:highlight w:val="none"/>
          <w:vertAlign w:val="baseline"/>
          <w:lang w:val="en-US" w:eastAsia="zh-CN" w:bidi="ar-SA"/>
        </w:rPr>
        <w:t>三</w:t>
      </w:r>
      <w:r>
        <w:rPr>
          <w:rFonts w:hint="default" w:ascii="黑体" w:hAnsi="黑体" w:eastAsia="黑体" w:cs="黑体"/>
          <w:b w:val="0"/>
          <w:bCs w:val="0"/>
          <w:i w:val="0"/>
          <w:iCs w:val="0"/>
          <w:color w:val="000000"/>
          <w:kern w:val="0"/>
          <w:sz w:val="32"/>
          <w:szCs w:val="32"/>
          <w:highlight w:val="none"/>
          <w:vertAlign w:val="baseline"/>
          <w:lang w:val="en" w:eastAsia="zh-CN" w:bidi="ar-SA"/>
        </w:rPr>
        <w:t>十</w:t>
      </w:r>
      <w:r>
        <w:rPr>
          <w:rFonts w:hint="eastAsia" w:ascii="黑体" w:hAnsi="黑体" w:eastAsia="黑体" w:cs="黑体"/>
          <w:b w:val="0"/>
          <w:bCs w:val="0"/>
          <w:i w:val="0"/>
          <w:iCs w:val="0"/>
          <w:color w:val="000000"/>
          <w:kern w:val="0"/>
          <w:sz w:val="32"/>
          <w:szCs w:val="32"/>
          <w:highlight w:val="none"/>
          <w:vertAlign w:val="baseline"/>
          <w:lang w:val="en" w:eastAsia="zh-CN" w:bidi="ar-SA"/>
        </w:rPr>
        <w:t>二</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本办法由</w:t>
      </w:r>
      <w:r>
        <w:rPr>
          <w:rFonts w:hint="eastAsia" w:ascii="仿宋_GB2312" w:hAnsi="仿宋_GB2312" w:eastAsia="仿宋_GB2312" w:cs="仿宋_GB2312"/>
          <w:b w:val="0"/>
          <w:bCs w:val="0"/>
          <w:i w:val="0"/>
          <w:iCs w:val="0"/>
          <w:color w:val="000000"/>
          <w:kern w:val="0"/>
          <w:sz w:val="32"/>
          <w:szCs w:val="32"/>
          <w:highlight w:val="none"/>
          <w:vertAlign w:val="baseline"/>
          <w:lang w:val="en-US" w:eastAsia="zh-CN" w:bidi="ar-SA"/>
        </w:rPr>
        <w:t>重庆市统计局</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负责解释。</w:t>
      </w:r>
    </w:p>
    <w:p>
      <w:pPr>
        <w:widowControl/>
        <w:shd w:val="clear" w:color="FFFFFF" w:fill="FFFFFF"/>
        <w:spacing w:line="600" w:lineRule="exact"/>
        <w:ind w:firstLine="640" w:firstLineChars="200"/>
        <w:jc w:val="both"/>
      </w:pPr>
      <w:r>
        <w:rPr>
          <w:rFonts w:hint="default" w:ascii="黑体" w:hAnsi="黑体" w:eastAsia="黑体" w:cs="黑体"/>
          <w:b w:val="0"/>
          <w:bCs w:val="0"/>
          <w:i w:val="0"/>
          <w:iCs w:val="0"/>
          <w:color w:val="000000"/>
          <w:kern w:val="0"/>
          <w:sz w:val="32"/>
          <w:szCs w:val="32"/>
          <w:highlight w:val="none"/>
          <w:vertAlign w:val="baseline"/>
          <w:lang w:val="en-US" w:eastAsia="zh-CN" w:bidi="ar-SA"/>
        </w:rPr>
        <w:t>第三十</w:t>
      </w:r>
      <w:r>
        <w:rPr>
          <w:rFonts w:hint="eastAsia" w:ascii="黑体" w:hAnsi="黑体" w:eastAsia="黑体" w:cs="黑体"/>
          <w:b w:val="0"/>
          <w:bCs w:val="0"/>
          <w:i w:val="0"/>
          <w:iCs w:val="0"/>
          <w:color w:val="000000"/>
          <w:kern w:val="0"/>
          <w:sz w:val="32"/>
          <w:szCs w:val="32"/>
          <w:highlight w:val="none"/>
          <w:vertAlign w:val="baseline"/>
          <w:lang w:val="en-US" w:eastAsia="zh-CN" w:bidi="ar-SA"/>
        </w:rPr>
        <w:t>三</w:t>
      </w:r>
      <w:r>
        <w:rPr>
          <w:rFonts w:hint="default" w:ascii="黑体" w:hAnsi="黑体" w:eastAsia="黑体" w:cs="黑体"/>
          <w:b w:val="0"/>
          <w:bCs w:val="0"/>
          <w:i w:val="0"/>
          <w:iCs w:val="0"/>
          <w:color w:val="000000"/>
          <w:kern w:val="0"/>
          <w:sz w:val="32"/>
          <w:szCs w:val="32"/>
          <w:highlight w:val="none"/>
          <w:vertAlign w:val="baseline"/>
          <w:lang w:val="en-US" w:eastAsia="zh-CN" w:bidi="ar-SA"/>
        </w:rPr>
        <w:t>条</w:t>
      </w: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本办法自公布之日起实施。《重庆市企业统计信用管理办法（试行）》（渝统发〔2019〕68号）、《重庆市统计从业人员统计信用档案管理办法（试行）》（渝统发〔2019〕78号）同时废止。</w:t>
      </w:r>
    </w:p>
    <w:p>
      <w:pPr>
        <w:widowControl/>
        <w:shd w:val="clear" w:color="FFFFFF" w:fill="FFFFFF"/>
        <w:spacing w:line="600" w:lineRule="exact"/>
        <w:ind w:firstLine="420" w:firstLineChars="200"/>
        <w:jc w:val="both"/>
      </w:pPr>
    </w:p>
    <w:p>
      <w:pPr>
        <w:widowControl/>
        <w:shd w:val="clear" w:color="FFFFFF" w:fill="FFFFFF"/>
        <w:spacing w:line="600" w:lineRule="exact"/>
        <w:ind w:firstLine="640" w:firstLineChars="2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附件：1.企业统计信用修复申请表</w:t>
      </w:r>
    </w:p>
    <w:p>
      <w:pPr>
        <w:widowControl/>
        <w:shd w:val="clear" w:color="FFFFFF" w:fill="FFFFFF"/>
        <w:spacing w:line="600" w:lineRule="exact"/>
        <w:ind w:firstLine="1600" w:firstLineChars="5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2.企业统计信用修复确认通知书</w:t>
      </w:r>
    </w:p>
    <w:p>
      <w:pPr>
        <w:widowControl/>
        <w:shd w:val="clear" w:color="FFFFFF" w:fill="FFFFFF"/>
        <w:spacing w:line="600" w:lineRule="exact"/>
        <w:ind w:firstLine="1600" w:firstLineChars="5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3.不予信用修复告知书</w:t>
      </w:r>
    </w:p>
    <w:p>
      <w:pPr>
        <w:widowControl/>
        <w:shd w:val="clear" w:color="FFFFFF" w:fill="FFFFFF"/>
        <w:spacing w:line="600" w:lineRule="exact"/>
        <w:ind w:firstLine="1600" w:firstLineChars="500"/>
        <w:jc w:val="both"/>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4.企业统计信用异议信息处理申请表</w:t>
      </w:r>
    </w:p>
    <w:p>
      <w:pPr>
        <w:widowControl/>
        <w:shd w:val="clear" w:color="FFFFFF" w:fill="FFFFFF"/>
        <w:spacing w:line="600" w:lineRule="exact"/>
        <w:ind w:firstLine="640" w:firstLineChars="200"/>
        <w:jc w:val="both"/>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r>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t xml:space="preserve">      5.企业统计信用异议信息处理结果反馈单</w:t>
      </w: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pStyle w:val="2"/>
        <w:rPr>
          <w:rFonts w:hint="default" w:ascii="仿宋_GB2312" w:hAnsi="仿宋_GB2312" w:eastAsia="仿宋_GB2312" w:cs="仿宋_GB2312"/>
          <w:b w:val="0"/>
          <w:bCs w:val="0"/>
          <w:i w:val="0"/>
          <w:iCs w:val="0"/>
          <w:color w:val="000000"/>
          <w:kern w:val="0"/>
          <w:sz w:val="32"/>
          <w:szCs w:val="32"/>
          <w:highlight w:val="none"/>
          <w:vertAlign w:val="baseline"/>
          <w:lang w:val="en-US" w:eastAsia="zh-CN" w:bidi="ar-SA"/>
        </w:rPr>
      </w:pPr>
    </w:p>
    <w:p>
      <w:pPr>
        <w:widowControl/>
        <w:spacing w:line="630" w:lineRule="atLeast"/>
        <w:jc w:val="left"/>
      </w:pPr>
      <w:r>
        <w:rPr>
          <w:rFonts w:hint="default" w:ascii="Times New Roman" w:hAnsi="Times New Roman" w:eastAsia="方正黑体_GBK" w:cs="Times New Roman"/>
          <w:b w:val="0"/>
          <w:bCs w:val="0"/>
          <w:i w:val="0"/>
          <w:iCs w:val="0"/>
          <w:color w:val="auto"/>
          <w:kern w:val="0"/>
          <w:sz w:val="32"/>
          <w:szCs w:val="32"/>
          <w:highlight w:val="none"/>
          <w:shd w:val="clear" w:color="FFFFFF" w:fill="FFFFFF"/>
          <w:vertAlign w:val="baseline"/>
          <w:lang w:val="en-US" w:eastAsia="zh-CN" w:bidi="ar-SA"/>
        </w:rPr>
        <w:t>附件1</w:t>
      </w:r>
    </w:p>
    <w:p>
      <w:pPr>
        <w:widowControl/>
        <w:spacing w:line="630" w:lineRule="atLeast"/>
        <w:jc w:val="center"/>
      </w:pPr>
      <w:r>
        <w:rPr>
          <w:rStyle w:val="8"/>
          <w:rFonts w:hint="default" w:ascii="Times New Roman" w:hAnsi="Times New Roman" w:eastAsia="方正小标宋_GBK" w:cs="Times New Roman"/>
          <w:b w:val="0"/>
          <w:bCs w:val="0"/>
          <w:i w:val="0"/>
          <w:iCs w:val="0"/>
          <w:color w:val="auto"/>
          <w:kern w:val="0"/>
          <w:sz w:val="44"/>
          <w:szCs w:val="44"/>
          <w:highlight w:val="none"/>
          <w:shd w:val="clear" w:color="FFFFFF" w:fill="FFFFFF"/>
          <w:vertAlign w:val="baseline"/>
          <w:lang w:val="en-US" w:eastAsia="zh-CN" w:bidi="ar-SA"/>
        </w:rPr>
        <w:t>企业统计信用修复申请表</w:t>
      </w:r>
    </w:p>
    <w:tbl>
      <w:tblPr>
        <w:tblStyle w:val="6"/>
        <w:tblpPr w:leftFromText="180" w:rightFromText="180" w:vertAnchor="text" w:horzAnchor="page" w:tblpX="1902" w:tblpY="247"/>
        <w:tblOverlap w:val="never"/>
        <w:tblW w:w="0" w:type="auto"/>
        <w:tblInd w:w="0" w:type="dxa"/>
        <w:tblLayout w:type="fixed"/>
        <w:tblCellMar>
          <w:top w:w="0" w:type="dxa"/>
          <w:left w:w="0" w:type="dxa"/>
          <w:bottom w:w="0" w:type="dxa"/>
          <w:right w:w="0" w:type="dxa"/>
        </w:tblCellMar>
      </w:tblPr>
      <w:tblGrid>
        <w:gridCol w:w="2068"/>
        <w:gridCol w:w="2682"/>
        <w:gridCol w:w="3360"/>
      </w:tblGrid>
      <w:tr>
        <w:tblPrEx>
          <w:tblCellMar>
            <w:top w:w="0" w:type="dxa"/>
            <w:left w:w="0" w:type="dxa"/>
            <w:bottom w:w="0" w:type="dxa"/>
            <w:right w:w="0" w:type="dxa"/>
          </w:tblCellMar>
        </w:tblPrEx>
        <w:trPr>
          <w:trHeight w:val="692" w:hRule="atLeast"/>
        </w:trPr>
        <w:tc>
          <w:tcPr>
            <w:tcW w:w="2068" w:type="dxa"/>
            <w:vMerge w:val="restart"/>
            <w:tcBorders>
              <w:top w:val="single" w:color="auto" w:sz="8" w:space="0"/>
              <w:left w:val="single" w:color="auto" w:sz="8" w:space="0"/>
              <w:bottom w:val="single" w:color="000000" w:sz="4" w:space="0"/>
              <w:right w:val="single" w:color="auto" w:sz="8" w:space="0"/>
            </w:tcBorders>
            <w:tcMar>
              <w:top w:w="0" w:type="dxa"/>
              <w:left w:w="0" w:type="dxa"/>
              <w:bottom w:w="0" w:type="dxa"/>
              <w:right w:w="0" w:type="dxa"/>
            </w:tcMar>
            <w:vAlign w:val="center"/>
          </w:tcPr>
          <w:p>
            <w:pPr>
              <w:widowControl/>
              <w:spacing w:line="630" w:lineRule="atLeast"/>
              <w:jc w:val="center"/>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信用主体基本情况</w:t>
            </w:r>
          </w:p>
        </w:tc>
        <w:tc>
          <w:tcPr>
            <w:tcW w:w="268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申请单位</w:t>
            </w:r>
          </w:p>
        </w:tc>
        <w:tc>
          <w:tcPr>
            <w:tcW w:w="336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740" w:hRule="atLeast"/>
        </w:trPr>
        <w:tc>
          <w:tcPr>
            <w:tcW w:w="2068"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630" w:lineRule="atLeast"/>
              <w:jc w:val="center"/>
            </w:pPr>
          </w:p>
        </w:tc>
        <w:tc>
          <w:tcPr>
            <w:tcW w:w="268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统一社会信用代码</w:t>
            </w:r>
          </w:p>
        </w:tc>
        <w:tc>
          <w:tcPr>
            <w:tcW w:w="336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585" w:hRule="atLeast"/>
        </w:trPr>
        <w:tc>
          <w:tcPr>
            <w:tcW w:w="2068"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630" w:lineRule="atLeast"/>
              <w:jc w:val="center"/>
            </w:pPr>
          </w:p>
        </w:tc>
        <w:tc>
          <w:tcPr>
            <w:tcW w:w="268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联系方式</w:t>
            </w:r>
          </w:p>
        </w:tc>
        <w:tc>
          <w:tcPr>
            <w:tcW w:w="336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pPr>
          </w:p>
        </w:tc>
      </w:tr>
      <w:tr>
        <w:tblPrEx>
          <w:tblCellMar>
            <w:top w:w="0" w:type="dxa"/>
            <w:left w:w="0" w:type="dxa"/>
            <w:bottom w:w="0" w:type="dxa"/>
            <w:right w:w="0" w:type="dxa"/>
          </w:tblCellMar>
        </w:tblPrEx>
        <w:trPr>
          <w:trHeight w:val="2371" w:hRule="atLeast"/>
        </w:trPr>
        <w:tc>
          <w:tcPr>
            <w:tcW w:w="2068" w:type="dxa"/>
            <w:tcBorders>
              <w:top w:val="single" w:color="000000" w:sz="4"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申请修复的相关内容</w:t>
            </w:r>
          </w:p>
        </w:tc>
        <w:tc>
          <w:tcPr>
            <w:tcW w:w="6042" w:type="dxa"/>
            <w:gridSpan w:val="2"/>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both"/>
            </w:pPr>
          </w:p>
        </w:tc>
      </w:tr>
      <w:tr>
        <w:tblPrEx>
          <w:tblCellMar>
            <w:top w:w="0" w:type="dxa"/>
            <w:left w:w="0" w:type="dxa"/>
            <w:bottom w:w="0" w:type="dxa"/>
            <w:right w:w="0" w:type="dxa"/>
          </w:tblCellMar>
        </w:tblPrEx>
        <w:trPr>
          <w:trHeight w:val="90" w:hRule="atLeast"/>
        </w:trPr>
        <w:tc>
          <w:tcPr>
            <w:tcW w:w="2068" w:type="dxa"/>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pPr>
              <w:widowControl/>
              <w:spacing w:line="294" w:lineRule="atLeast"/>
              <w:jc w:val="center"/>
              <w:rPr>
                <w:rFonts w:hint="default"/>
                <w:lang w:val="en"/>
              </w:rPr>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申请信用修复的理由</w:t>
            </w:r>
            <w:r>
              <w:rPr>
                <w:rStyle w:val="8"/>
                <w:rFonts w:hint="default" w:ascii="Times New Roman" w:hAnsi="Times New Roman" w:eastAsia="方正仿宋_GBK" w:cs="Times New Roman"/>
                <w:b/>
                <w:bCs/>
                <w:i w:val="0"/>
                <w:iCs w:val="0"/>
                <w:color w:val="auto"/>
                <w:kern w:val="0"/>
                <w:sz w:val="32"/>
                <w:szCs w:val="32"/>
                <w:highlight w:val="none"/>
                <w:vertAlign w:val="baseline"/>
                <w:lang w:val="en" w:eastAsia="zh-CN" w:bidi="ar-SA"/>
              </w:rPr>
              <w:t>及证明材料</w:t>
            </w:r>
          </w:p>
        </w:tc>
        <w:tc>
          <w:tcPr>
            <w:tcW w:w="6042"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pPr>
              <w:widowControl/>
              <w:spacing w:line="294" w:lineRule="atLeast"/>
              <w:jc w:val="left"/>
            </w:pPr>
            <w:r>
              <w:rPr>
                <w:rFonts w:hint="default" w:ascii="Times New Roman" w:hAnsi="Times New Roman" w:eastAsia="宋体" w:cs="Times New Roman"/>
                <w:b w:val="0"/>
                <w:bCs w:val="0"/>
                <w:i w:val="0"/>
                <w:iCs w:val="0"/>
                <w:color w:val="auto"/>
                <w:kern w:val="2"/>
                <w:sz w:val="21"/>
                <w:szCs w:val="24"/>
                <w:highlight w:val="none"/>
                <w:vertAlign w:val="baseline"/>
                <w:lang w:val="en-US" w:eastAsia="zh-CN" w:bidi="ar-SA"/>
              </w:rPr>
              <w:t xml:space="preserve">   </w:t>
            </w:r>
          </w:p>
          <w:p>
            <w:pPr>
              <w:spacing w:line="520" w:lineRule="exact"/>
              <w:ind w:firstLine="560" w:firstLineChars="200"/>
              <w:jc w:val="center"/>
              <w:rPr>
                <w:rFonts w:hint="default" w:ascii="Times New Roman" w:hAnsi="Times New Roman" w:eastAsia="方正仿宋_GBK" w:cs="Times New Roman"/>
                <w:b w:val="0"/>
                <w:bCs w:val="0"/>
                <w:i w:val="0"/>
                <w:iCs w:val="0"/>
                <w:color w:val="auto"/>
                <w:kern w:val="0"/>
                <w:sz w:val="28"/>
                <w:szCs w:val="24"/>
                <w:highlight w:val="none"/>
                <w:vertAlign w:val="baseline"/>
                <w:lang w:val="en" w:eastAsia="zh-CN" w:bidi="ar-SA"/>
              </w:rPr>
            </w:pPr>
            <w:r>
              <w:rPr>
                <w:rFonts w:hint="default" w:ascii="Times New Roman" w:hAnsi="Times New Roman" w:eastAsia="方正仿宋_GBK" w:cs="Times New Roman"/>
                <w:b w:val="0"/>
                <w:bCs w:val="0"/>
                <w:i w:val="0"/>
                <w:iCs w:val="0"/>
                <w:color w:val="auto"/>
                <w:kern w:val="0"/>
                <w:sz w:val="28"/>
                <w:szCs w:val="24"/>
                <w:highlight w:val="none"/>
                <w:vertAlign w:val="baseline"/>
                <w:lang w:val="en" w:eastAsia="zh-CN" w:bidi="ar-SA"/>
              </w:rPr>
              <w:t>（证明材料包括：履行行政处罚决定、整改到位证明材料及统计守信承诺等内容）</w:t>
            </w:r>
          </w:p>
          <w:p>
            <w:pPr>
              <w:spacing w:line="520" w:lineRule="exact"/>
              <w:jc w:val="center"/>
            </w:pPr>
          </w:p>
        </w:tc>
      </w:tr>
      <w:tr>
        <w:tblPrEx>
          <w:tblCellMar>
            <w:top w:w="0" w:type="dxa"/>
            <w:left w:w="0" w:type="dxa"/>
            <w:bottom w:w="0" w:type="dxa"/>
            <w:right w:w="0" w:type="dxa"/>
          </w:tblCellMar>
        </w:tblPrEx>
        <w:trPr>
          <w:trHeight w:val="1810" w:hRule="atLeast"/>
        </w:trPr>
        <w:tc>
          <w:tcPr>
            <w:tcW w:w="8110" w:type="dxa"/>
            <w:gridSpan w:val="3"/>
            <w:tcBorders>
              <w:top w:val="single" w:color="auto" w:sz="4" w:space="0"/>
              <w:left w:val="single" w:color="auto" w:sz="4" w:space="0"/>
              <w:bottom w:val="single" w:color="auto" w:sz="4" w:space="0"/>
              <w:right w:val="single" w:color="auto" w:sz="4" w:space="0"/>
            </w:tcBorders>
            <w:tcMar>
              <w:top w:w="0" w:type="dxa"/>
              <w:left w:w="810" w:type="dxa"/>
              <w:bottom w:w="0" w:type="dxa"/>
              <w:right w:w="108" w:type="dxa"/>
            </w:tcMar>
            <w:vAlign w:val="center"/>
          </w:tcPr>
          <w:p>
            <w:pPr>
              <w:widowControl/>
              <w:adjustRightInd/>
              <w:snapToGrid/>
              <w:spacing w:line="360" w:lineRule="atLeast"/>
              <w:jc w:val="left"/>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本单位（本人）声明，提交的材料真实有效。</w:t>
            </w:r>
          </w:p>
          <w:p>
            <w:pPr>
              <w:widowControl/>
              <w:adjustRightInd/>
              <w:snapToGrid/>
              <w:spacing w:line="360" w:lineRule="atLeast"/>
              <w:ind w:firstLine="960" w:firstLineChars="300"/>
              <w:jc w:val="left"/>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法定代表人（自然人）签字：     （盖章）</w:t>
            </w:r>
          </w:p>
          <w:p>
            <w:pPr>
              <w:widowControl/>
              <w:adjustRightInd/>
              <w:snapToGrid/>
              <w:spacing w:line="360" w:lineRule="atLeast"/>
              <w:ind w:firstLine="3200" w:firstLineChars="1000"/>
              <w:jc w:val="left"/>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申请日期：</w:t>
            </w:r>
          </w:p>
        </w:tc>
      </w:tr>
      <w:tr>
        <w:tblPrEx>
          <w:tblCellMar>
            <w:top w:w="0" w:type="dxa"/>
            <w:left w:w="0" w:type="dxa"/>
            <w:bottom w:w="0" w:type="dxa"/>
            <w:right w:w="0" w:type="dxa"/>
          </w:tblCellMar>
        </w:tblPrEx>
        <w:trPr>
          <w:trHeight w:val="880" w:hRule="atLeast"/>
        </w:trPr>
        <w:tc>
          <w:tcPr>
            <w:tcW w:w="8110" w:type="dxa"/>
            <w:gridSpan w:val="3"/>
            <w:tcBorders>
              <w:top w:val="single" w:color="auto" w:sz="4" w:space="0"/>
              <w:left w:val="single" w:color="auto" w:sz="4" w:space="0"/>
              <w:bottom w:val="single" w:color="auto" w:sz="4" w:space="0"/>
              <w:right w:val="single" w:color="auto" w:sz="4" w:space="0"/>
            </w:tcBorders>
            <w:tcMar>
              <w:top w:w="0" w:type="dxa"/>
              <w:left w:w="810" w:type="dxa"/>
              <w:bottom w:w="0" w:type="dxa"/>
              <w:right w:w="108" w:type="dxa"/>
            </w:tcMar>
            <w:vAlign w:val="center"/>
          </w:tcPr>
          <w:p>
            <w:pPr>
              <w:widowControl/>
              <w:spacing w:line="294" w:lineRule="atLeast"/>
              <w:jc w:val="left"/>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以下内容由统计机构填写</w:t>
            </w:r>
          </w:p>
        </w:tc>
      </w:tr>
      <w:tr>
        <w:tblPrEx>
          <w:tblCellMar>
            <w:top w:w="0" w:type="dxa"/>
            <w:left w:w="0" w:type="dxa"/>
            <w:bottom w:w="0" w:type="dxa"/>
            <w:right w:w="0" w:type="dxa"/>
          </w:tblCellMar>
        </w:tblPrEx>
        <w:trPr>
          <w:trHeight w:val="1560" w:hRule="atLeast"/>
        </w:trPr>
        <w:tc>
          <w:tcPr>
            <w:tcW w:w="8110" w:type="dxa"/>
            <w:gridSpan w:val="3"/>
            <w:tcBorders>
              <w:top w:val="single" w:color="auto" w:sz="4" w:space="0"/>
              <w:left w:val="single" w:color="auto" w:sz="4" w:space="0"/>
              <w:bottom w:val="single" w:color="auto" w:sz="4" w:space="0"/>
              <w:right w:val="single" w:color="auto" w:sz="4" w:space="0"/>
            </w:tcBorders>
            <w:tcMar>
              <w:top w:w="0" w:type="dxa"/>
              <w:left w:w="810" w:type="dxa"/>
              <w:bottom w:w="0" w:type="dxa"/>
              <w:right w:w="108" w:type="dxa"/>
            </w:tcMar>
            <w:vAlign w:val="center"/>
          </w:tcPr>
          <w:p>
            <w:pPr>
              <w:spacing w:line="520" w:lineRule="exact"/>
              <w:ind w:firstLine="560" w:firstLineChars="200"/>
              <w:jc w:val="both"/>
            </w:pPr>
            <w:r>
              <w:rPr>
                <w:rFonts w:hint="default" w:ascii="Times New Roman" w:hAnsi="Times New Roman" w:eastAsia="方正仿宋_GBK" w:cs="Times New Roman"/>
                <w:b w:val="0"/>
                <w:bCs w:val="0"/>
                <w:i w:val="0"/>
                <w:iCs w:val="0"/>
                <w:color w:val="auto"/>
                <w:kern w:val="0"/>
                <w:sz w:val="28"/>
                <w:szCs w:val="24"/>
                <w:highlight w:val="none"/>
                <w:vertAlign w:val="baseline"/>
                <w:lang w:val="en-US" w:eastAsia="zh-CN" w:bidi="ar-SA"/>
              </w:rPr>
              <w:t>经核对</w:t>
            </w:r>
            <w:r>
              <w:rPr>
                <w:rFonts w:hint="default" w:ascii="Times New Roman" w:hAnsi="Times New Roman" w:eastAsia="方正仿宋_GBK" w:cs="Times New Roman"/>
                <w:b w:val="0"/>
                <w:bCs w:val="0"/>
                <w:i w:val="0"/>
                <w:iCs w:val="0"/>
                <w:color w:val="auto"/>
                <w:kern w:val="0"/>
                <w:sz w:val="32"/>
                <w:szCs w:val="32"/>
                <w:highlight w:val="none"/>
                <w:vertAlign w:val="baseline"/>
                <w:lang w:val="zh-CN" w:eastAsia="zh-CN" w:bidi="ar-SA"/>
              </w:rPr>
              <w:t>，</w:t>
            </w:r>
            <w:r>
              <w:rPr>
                <w:rFonts w:hint="default" w:ascii="Times New Roman" w:hAnsi="Times New Roman" w:eastAsia="方正仿宋_GBK" w:cs="Times New Roman"/>
                <w:b w:val="0"/>
                <w:bCs w:val="0"/>
                <w:i w:val="0"/>
                <w:iCs w:val="0"/>
                <w:color w:val="auto"/>
                <w:kern w:val="0"/>
                <w:sz w:val="28"/>
                <w:szCs w:val="24"/>
                <w:highlight w:val="none"/>
                <w:vertAlign w:val="baseline"/>
                <w:lang w:val="en-US" w:eastAsia="zh-CN" w:bidi="ar-SA"/>
              </w:rPr>
              <w:t>申报单位提交</w:t>
            </w:r>
            <w:r>
              <w:rPr>
                <w:rFonts w:hint="default" w:ascii="Times New Roman" w:hAnsi="Times New Roman" w:eastAsia="方正仿宋_GBK" w:cs="Times New Roman"/>
                <w:b w:val="0"/>
                <w:bCs w:val="0"/>
                <w:i w:val="0"/>
                <w:iCs w:val="0"/>
                <w:color w:val="auto"/>
                <w:kern w:val="0"/>
                <w:sz w:val="28"/>
                <w:szCs w:val="24"/>
                <w:highlight w:val="none"/>
                <w:vertAlign w:val="baseline"/>
                <w:lang w:val="zh-CN" w:eastAsia="zh-CN" w:bidi="ar-SA"/>
              </w:rPr>
              <w:t xml:space="preserve"> </w:t>
            </w:r>
            <w:r>
              <w:rPr>
                <w:rFonts w:hint="default" w:ascii="Times New Roman" w:hAnsi="Times New Roman" w:eastAsia="方正仿宋_GBK" w:cs="Times New Roman"/>
                <w:b w:val="0"/>
                <w:bCs w:val="0"/>
                <w:i w:val="0"/>
                <w:iCs w:val="0"/>
                <w:color w:val="auto"/>
                <w:kern w:val="0"/>
                <w:sz w:val="28"/>
                <w:szCs w:val="24"/>
                <w:highlight w:val="none"/>
                <w:u w:val="single" w:color="auto"/>
                <w:vertAlign w:val="baseline"/>
                <w:lang w:val="zh-CN" w:eastAsia="zh-CN" w:bidi="ar-SA"/>
              </w:rPr>
              <w:t xml:space="preserve">     </w:t>
            </w:r>
            <w:r>
              <w:rPr>
                <w:rFonts w:hint="default" w:ascii="Times New Roman" w:hAnsi="Times New Roman" w:eastAsia="方正仿宋_GBK" w:cs="Times New Roman"/>
                <w:b w:val="0"/>
                <w:bCs w:val="0"/>
                <w:i w:val="0"/>
                <w:iCs w:val="0"/>
                <w:color w:val="auto"/>
                <w:kern w:val="0"/>
                <w:sz w:val="28"/>
                <w:szCs w:val="24"/>
                <w:highlight w:val="none"/>
                <w:vertAlign w:val="baseline"/>
                <w:lang w:val="zh-CN" w:eastAsia="zh-CN" w:bidi="ar-SA"/>
              </w:rPr>
              <w:t>份材料</w:t>
            </w:r>
            <w:r>
              <w:rPr>
                <w:rFonts w:hint="default" w:ascii="Times New Roman" w:hAnsi="Times New Roman" w:eastAsia="方正仿宋_GBK" w:cs="Times New Roman"/>
                <w:b w:val="0"/>
                <w:bCs w:val="0"/>
                <w:i w:val="0"/>
                <w:iCs w:val="0"/>
                <w:color w:val="auto"/>
                <w:kern w:val="0"/>
                <w:sz w:val="32"/>
                <w:szCs w:val="32"/>
                <w:highlight w:val="none"/>
                <w:vertAlign w:val="baseline"/>
                <w:lang w:val="zh-CN" w:eastAsia="zh-CN" w:bidi="ar-SA"/>
              </w:rPr>
              <w:t>，</w:t>
            </w:r>
            <w:r>
              <w:rPr>
                <w:rFonts w:hint="default" w:ascii="Times New Roman" w:hAnsi="Times New Roman" w:eastAsia="方正仿宋_GBK" w:cs="Times New Roman"/>
                <w:b w:val="0"/>
                <w:bCs w:val="0"/>
                <w:i w:val="0"/>
                <w:iCs w:val="0"/>
                <w:color w:val="auto"/>
                <w:kern w:val="0"/>
                <w:sz w:val="28"/>
                <w:szCs w:val="24"/>
                <w:highlight w:val="none"/>
                <w:vertAlign w:val="baseline"/>
                <w:lang w:val="en-US" w:eastAsia="zh-CN" w:bidi="ar-SA"/>
              </w:rPr>
              <w:t>予以接收。</w:t>
            </w:r>
          </w:p>
          <w:p>
            <w:pPr>
              <w:spacing w:line="520" w:lineRule="exact"/>
              <w:jc w:val="both"/>
            </w:pPr>
            <w:r>
              <w:rPr>
                <w:rFonts w:hint="default" w:ascii="Times New Roman" w:hAnsi="Times New Roman" w:eastAsia="方正仿宋_GBK" w:cs="Times New Roman"/>
                <w:b w:val="0"/>
                <w:bCs w:val="0"/>
                <w:i w:val="0"/>
                <w:iCs w:val="0"/>
                <w:color w:val="auto"/>
                <w:kern w:val="0"/>
                <w:sz w:val="28"/>
                <w:szCs w:val="24"/>
                <w:highlight w:val="none"/>
                <w:vertAlign w:val="baseline"/>
                <w:lang w:val="en-US" w:eastAsia="zh-CN" w:bidi="ar-SA"/>
              </w:rPr>
              <w:t>接收者(签字):                接收日期:   年   月   日</w:t>
            </w:r>
          </w:p>
        </w:tc>
      </w:tr>
    </w:tbl>
    <w:p>
      <w:pPr>
        <w:widowControl/>
        <w:spacing w:line="630" w:lineRule="atLeast"/>
        <w:jc w:val="left"/>
      </w:pPr>
      <w:r>
        <w:rPr>
          <w:rFonts w:hint="default" w:ascii="Times New Roman" w:hAnsi="Times New Roman" w:eastAsia="方正黑体_GBK" w:cs="Times New Roman"/>
          <w:b w:val="0"/>
          <w:bCs w:val="0"/>
          <w:i w:val="0"/>
          <w:iCs w:val="0"/>
          <w:color w:val="auto"/>
          <w:kern w:val="0"/>
          <w:sz w:val="32"/>
          <w:szCs w:val="32"/>
          <w:highlight w:val="none"/>
          <w:shd w:val="clear" w:color="FFFFFF" w:fill="FFFFFF"/>
          <w:vertAlign w:val="baseline"/>
          <w:lang w:val="en-US" w:eastAsia="zh-CN" w:bidi="ar-SA"/>
        </w:rPr>
        <w:t>备注:本表一式两份</w:t>
      </w:r>
    </w:p>
    <w:p>
      <w:pPr>
        <w:widowControl/>
        <w:spacing w:line="630" w:lineRule="atLeast"/>
        <w:jc w:val="left"/>
      </w:pPr>
    </w:p>
    <w:p>
      <w:pPr>
        <w:widowControl/>
        <w:spacing w:line="630" w:lineRule="atLeast"/>
        <w:jc w:val="left"/>
      </w:pPr>
      <w:r>
        <w:rPr>
          <w:rFonts w:hint="default" w:ascii="Times New Roman" w:hAnsi="Times New Roman" w:eastAsia="方正黑体_GBK" w:cs="Times New Roman"/>
          <w:b w:val="0"/>
          <w:bCs w:val="0"/>
          <w:i w:val="0"/>
          <w:iCs w:val="0"/>
          <w:color w:val="auto"/>
          <w:kern w:val="0"/>
          <w:sz w:val="32"/>
          <w:szCs w:val="32"/>
          <w:highlight w:val="none"/>
          <w:shd w:val="clear" w:color="FFFFFF" w:fill="FFFFFF"/>
          <w:vertAlign w:val="baseline"/>
          <w:lang w:val="en-US" w:eastAsia="zh-CN" w:bidi="ar-SA"/>
        </w:rPr>
        <w:t>附件2</w:t>
      </w:r>
    </w:p>
    <w:p>
      <w:pPr>
        <w:widowControl/>
        <w:spacing w:line="630" w:lineRule="atLeast"/>
        <w:jc w:val="left"/>
      </w:pPr>
    </w:p>
    <w:p>
      <w:pPr>
        <w:widowControl/>
        <w:spacing w:line="630" w:lineRule="atLeast"/>
        <w:jc w:val="center"/>
      </w:pPr>
      <w:r>
        <w:rPr>
          <w:rStyle w:val="8"/>
          <w:rFonts w:hint="default" w:ascii="Times New Roman" w:hAnsi="Times New Roman" w:eastAsia="方正小标宋_GBK" w:cs="Times New Roman"/>
          <w:b w:val="0"/>
          <w:bCs w:val="0"/>
          <w:i w:val="0"/>
          <w:iCs w:val="0"/>
          <w:color w:val="auto"/>
          <w:kern w:val="0"/>
          <w:sz w:val="44"/>
          <w:szCs w:val="44"/>
          <w:highlight w:val="none"/>
          <w:shd w:val="clear" w:color="FFFFFF" w:fill="FFFFFF"/>
          <w:vertAlign w:val="baseline"/>
          <w:lang w:val="en-US" w:eastAsia="zh-CN" w:bidi="ar-SA"/>
        </w:rPr>
        <w:t>企业统计信用修复确认通知书</w:t>
      </w:r>
    </w:p>
    <w:p>
      <w:pPr>
        <w:widowControl/>
        <w:spacing w:line="630" w:lineRule="atLeast"/>
        <w:jc w:val="center"/>
      </w:pPr>
      <w:r>
        <w:rPr>
          <w:rStyle w:val="8"/>
          <w:rFonts w:hint="default" w:ascii="Times New Roman" w:hAnsi="Times New Roman" w:eastAsia="方正仿宋_GBK" w:cs="Times New Roman"/>
          <w:b/>
          <w:bCs/>
          <w:i w:val="0"/>
          <w:iCs w:val="0"/>
          <w:color w:val="auto"/>
          <w:kern w:val="0"/>
          <w:sz w:val="32"/>
          <w:szCs w:val="32"/>
          <w:highlight w:val="none"/>
          <w:shd w:val="clear" w:color="FFFFFF" w:fill="FFFFFF"/>
          <w:vertAlign w:val="baseline"/>
          <w:lang w:val="en-US" w:eastAsia="zh-CN" w:bidi="ar-SA"/>
        </w:rPr>
        <w:t xml:space="preserve">                     </w:t>
      </w:r>
      <w:r>
        <w:rPr>
          <w:rStyle w:val="8"/>
          <w:rFonts w:hint="default" w:ascii="Times New Roman" w:hAnsi="Times New Roman" w:eastAsia="方正仿宋_GBK" w:cs="Times New Roman"/>
          <w:b w:val="0"/>
          <w:bCs w:val="0"/>
          <w:i w:val="0"/>
          <w:iCs w:val="0"/>
          <w:color w:val="auto"/>
          <w:kern w:val="0"/>
          <w:sz w:val="32"/>
          <w:szCs w:val="32"/>
          <w:highlight w:val="none"/>
          <w:shd w:val="clear" w:color="FFFFFF" w:fill="FFFFFF"/>
          <w:vertAlign w:val="baseline"/>
          <w:lang w:val="en-US" w:eastAsia="zh-CN" w:bidi="ar-SA"/>
        </w:rPr>
        <w:t>编号：</w:t>
      </w: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（年份+四位流水号）</w:t>
      </w:r>
    </w:p>
    <w:tbl>
      <w:tblPr>
        <w:tblStyle w:val="6"/>
        <w:tblW w:w="0" w:type="auto"/>
        <w:tblInd w:w="0" w:type="dxa"/>
        <w:tblLayout w:type="fixed"/>
        <w:tblCellMar>
          <w:top w:w="0" w:type="dxa"/>
          <w:left w:w="0" w:type="dxa"/>
          <w:bottom w:w="0" w:type="dxa"/>
          <w:right w:w="0" w:type="dxa"/>
        </w:tblCellMar>
      </w:tblPr>
      <w:tblGrid>
        <w:gridCol w:w="1088"/>
        <w:gridCol w:w="1910"/>
        <w:gridCol w:w="1830"/>
        <w:gridCol w:w="1590"/>
        <w:gridCol w:w="1752"/>
      </w:tblGrid>
      <w:tr>
        <w:tblPrEx>
          <w:tblCellMar>
            <w:top w:w="0" w:type="dxa"/>
            <w:left w:w="0" w:type="dxa"/>
            <w:bottom w:w="0" w:type="dxa"/>
            <w:right w:w="0" w:type="dxa"/>
          </w:tblCellMar>
        </w:tblPrEx>
        <w:trPr>
          <w:trHeight w:val="490" w:hRule="atLeast"/>
        </w:trPr>
        <w:tc>
          <w:tcPr>
            <w:tcW w:w="1088" w:type="dxa"/>
            <w:vMerge w:val="restart"/>
            <w:tcBorders>
              <w:top w:val="single" w:color="auto" w:sz="8" w:space="0"/>
              <w:left w:val="single" w:color="auto" w:sz="8" w:space="0"/>
              <w:bottom w:val="single" w:color="000000" w:sz="4" w:space="0"/>
              <w:right w:val="single" w:color="auto" w:sz="8" w:space="0"/>
            </w:tcBorders>
            <w:tcMar>
              <w:top w:w="0" w:type="dxa"/>
              <w:left w:w="0" w:type="dxa"/>
              <w:bottom w:w="0" w:type="dxa"/>
              <w:right w:w="0" w:type="dxa"/>
            </w:tcMar>
            <w:vAlign w:val="center"/>
          </w:tcPr>
          <w:p>
            <w:pPr>
              <w:widowControl/>
              <w:spacing w:line="630" w:lineRule="atLeast"/>
              <w:jc w:val="center"/>
            </w:pPr>
            <w:r>
              <w:rPr>
                <w:rStyle w:val="8"/>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申请修复的信用主体</w:t>
            </w:r>
          </w:p>
        </w:tc>
        <w:tc>
          <w:tcPr>
            <w:tcW w:w="19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pPr>
            <w:r>
              <w:rPr>
                <w:rStyle w:val="8"/>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申请单位</w:t>
            </w:r>
          </w:p>
        </w:tc>
        <w:tc>
          <w:tcPr>
            <w:tcW w:w="5172" w:type="dxa"/>
            <w:gridSpan w:val="3"/>
            <w:tcBorders>
              <w:top w:val="single" w:color="auto" w:sz="8" w:space="0"/>
              <w:left w:val="single" w:color="auto" w:sz="8" w:space="0"/>
              <w:bottom w:val="single" w:color="auto" w:sz="8" w:space="0"/>
              <w:right w:val="single" w:color="000000" w:sz="4" w:space="0"/>
            </w:tcBorders>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670" w:hRule="atLeast"/>
        </w:trPr>
        <w:tc>
          <w:tcPr>
            <w:tcW w:w="1088"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pPr>
            <w:r>
              <w:rPr>
                <w:rStyle w:val="8"/>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统一社会信用代码</w:t>
            </w:r>
          </w:p>
        </w:tc>
        <w:tc>
          <w:tcPr>
            <w:tcW w:w="5172" w:type="dxa"/>
            <w:gridSpan w:val="3"/>
            <w:tcBorders>
              <w:top w:val="single" w:color="auto" w:sz="8" w:space="0"/>
              <w:left w:val="single" w:color="auto" w:sz="8" w:space="0"/>
              <w:bottom w:val="single" w:color="auto" w:sz="8" w:space="0"/>
              <w:right w:val="single" w:color="000000" w:sz="4" w:space="0"/>
            </w:tcBorders>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600" w:hRule="atLeast"/>
        </w:trPr>
        <w:tc>
          <w:tcPr>
            <w:tcW w:w="1088"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pPr>
            <w:r>
              <w:rPr>
                <w:rStyle w:val="8"/>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法定代表人</w:t>
            </w:r>
          </w:p>
        </w:tc>
        <w:tc>
          <w:tcPr>
            <w:tcW w:w="1830"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pPr>
          </w:p>
        </w:tc>
        <w:tc>
          <w:tcPr>
            <w:tcW w:w="1590"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联系方式</w:t>
            </w:r>
          </w:p>
        </w:tc>
        <w:tc>
          <w:tcPr>
            <w:tcW w:w="1752"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650" w:hRule="atLeast"/>
        </w:trPr>
        <w:tc>
          <w:tcPr>
            <w:tcW w:w="1088"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pPr>
            <w:r>
              <w:rPr>
                <w:rStyle w:val="8"/>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申请内容</w:t>
            </w:r>
          </w:p>
        </w:tc>
        <w:tc>
          <w:tcPr>
            <w:tcW w:w="5172" w:type="dxa"/>
            <w:gridSpan w:val="3"/>
            <w:tcBorders>
              <w:top w:val="single" w:color="auto" w:sz="8" w:space="0"/>
              <w:left w:val="single" w:color="auto" w:sz="8" w:space="0"/>
              <w:bottom w:val="single" w:color="auto" w:sz="8" w:space="0"/>
              <w:right w:val="single" w:color="000000" w:sz="4"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630" w:hRule="atLeast"/>
        </w:trPr>
        <w:tc>
          <w:tcPr>
            <w:tcW w:w="1088" w:type="dxa"/>
            <w:vMerge w:val="restart"/>
            <w:tcBorders>
              <w:top w:val="single" w:color="000000" w:sz="4" w:space="0"/>
              <w:left w:val="single" w:color="auto" w:sz="8" w:space="0"/>
              <w:bottom w:val="single" w:color="000000" w:sz="4" w:space="0"/>
              <w:right w:val="single" w:color="auto" w:sz="8" w:space="0"/>
            </w:tcBorders>
            <w:tcMar>
              <w:top w:w="0" w:type="dxa"/>
              <w:left w:w="108" w:type="dxa"/>
              <w:bottom w:w="0" w:type="dxa"/>
              <w:right w:w="108" w:type="dxa"/>
            </w:tcMar>
            <w:vAlign w:val="center"/>
          </w:tcPr>
          <w:p>
            <w:pPr>
              <w:widowControl/>
              <w:spacing w:line="630" w:lineRule="atLeast"/>
              <w:jc w:val="center"/>
            </w:pPr>
            <w:r>
              <w:rPr>
                <w:rStyle w:val="8"/>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统计机构意见</w:t>
            </w:r>
          </w:p>
        </w:tc>
        <w:tc>
          <w:tcPr>
            <w:tcW w:w="19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30" w:lineRule="atLeast"/>
              <w:jc w:val="center"/>
            </w:pPr>
            <w:r>
              <w:rPr>
                <w:rStyle w:val="8"/>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修复情况</w:t>
            </w:r>
          </w:p>
        </w:tc>
        <w:tc>
          <w:tcPr>
            <w:tcW w:w="5172" w:type="dxa"/>
            <w:gridSpan w:val="3"/>
            <w:tcBorders>
              <w:top w:val="single" w:color="auto" w:sz="8" w:space="0"/>
              <w:left w:val="single" w:color="auto" w:sz="8" w:space="0"/>
              <w:bottom w:val="single" w:color="000000" w:sz="4" w:space="0"/>
              <w:right w:val="single" w:color="000000" w:sz="4" w:space="0"/>
            </w:tcBorders>
            <w:tcMar>
              <w:top w:w="0" w:type="dxa"/>
              <w:left w:w="540" w:type="dxa"/>
              <w:bottom w:w="0" w:type="dxa"/>
              <w:right w:w="108" w:type="dxa"/>
            </w:tcMar>
            <w:vAlign w:val="center"/>
          </w:tcPr>
          <w:p>
            <w:pPr>
              <w:widowControl/>
              <w:spacing w:line="630" w:lineRule="atLeast"/>
              <w:jc w:val="left"/>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 xml:space="preserve">      </w:t>
            </w:r>
          </w:p>
          <w:p>
            <w:pPr>
              <w:widowControl/>
              <w:spacing w:line="630" w:lineRule="atLeast"/>
              <w:jc w:val="left"/>
            </w:pPr>
          </w:p>
          <w:p>
            <w:pPr>
              <w:widowControl/>
              <w:spacing w:line="630" w:lineRule="atLeast"/>
              <w:jc w:val="left"/>
            </w:pPr>
          </w:p>
          <w:p>
            <w:pPr>
              <w:widowControl/>
              <w:spacing w:line="630" w:lineRule="atLeast"/>
              <w:jc w:val="left"/>
            </w:pPr>
          </w:p>
          <w:p>
            <w:pPr>
              <w:widowControl/>
              <w:spacing w:line="630" w:lineRule="atLeast"/>
              <w:jc w:val="left"/>
            </w:pPr>
          </w:p>
        </w:tc>
      </w:tr>
      <w:tr>
        <w:tblPrEx>
          <w:tblCellMar>
            <w:top w:w="0" w:type="dxa"/>
            <w:left w:w="0" w:type="dxa"/>
            <w:bottom w:w="0" w:type="dxa"/>
            <w:right w:w="0" w:type="dxa"/>
          </w:tblCellMar>
        </w:tblPrEx>
        <w:trPr>
          <w:trHeight w:val="2556" w:hRule="atLeast"/>
        </w:trPr>
        <w:tc>
          <w:tcPr>
            <w:tcW w:w="1088" w:type="dxa"/>
            <w:vMerge w:val="continue"/>
            <w:tcBorders>
              <w:top w:val="single" w:color="000000" w:sz="4" w:space="0"/>
              <w:left w:val="single" w:color="auto" w:sz="8" w:space="0"/>
              <w:bottom w:val="single" w:color="000000" w:sz="4" w:space="0"/>
              <w:right w:val="single" w:color="auto" w:sz="8" w:space="0"/>
            </w:tcBorders>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tcMar>
              <w:top w:w="0" w:type="dxa"/>
              <w:left w:w="108" w:type="dxa"/>
              <w:bottom w:w="0" w:type="dxa"/>
              <w:right w:w="540" w:type="dxa"/>
            </w:tcMar>
            <w:vAlign w:val="center"/>
          </w:tcPr>
          <w:p>
            <w:pPr>
              <w:widowControl/>
              <w:spacing w:line="294" w:lineRule="atLeast"/>
              <w:jc w:val="center"/>
            </w:pPr>
          </w:p>
          <w:p>
            <w:pPr>
              <w:widowControl/>
              <w:spacing w:line="294" w:lineRule="atLeast"/>
              <w:jc w:val="center"/>
            </w:pPr>
            <w:r>
              <w:rPr>
                <w:rStyle w:val="8"/>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修复处理</w:t>
            </w:r>
          </w:p>
          <w:p>
            <w:pPr>
              <w:widowControl/>
              <w:spacing w:line="294" w:lineRule="atLeast"/>
              <w:jc w:val="center"/>
            </w:pPr>
            <w:r>
              <w:rPr>
                <w:rStyle w:val="8"/>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意见</w:t>
            </w:r>
          </w:p>
          <w:p>
            <w:pPr>
              <w:widowControl/>
              <w:spacing w:line="294" w:lineRule="atLeast"/>
              <w:jc w:val="right"/>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 xml:space="preserve">        </w:t>
            </w:r>
          </w:p>
        </w:tc>
        <w:tc>
          <w:tcPr>
            <w:tcW w:w="5172" w:type="dxa"/>
            <w:gridSpan w:val="3"/>
            <w:tcBorders>
              <w:top w:val="single" w:color="000000" w:sz="4" w:space="0"/>
              <w:left w:val="single" w:color="auto" w:sz="8" w:space="0"/>
              <w:bottom w:val="single" w:color="000000" w:sz="4" w:space="0"/>
              <w:right w:val="single" w:color="auto" w:sz="8" w:space="0"/>
            </w:tcBorders>
            <w:tcMar>
              <w:top w:w="0" w:type="dxa"/>
              <w:left w:w="108" w:type="dxa"/>
              <w:bottom w:w="0" w:type="dxa"/>
              <w:right w:w="108" w:type="dxa"/>
            </w:tcMar>
            <w:vAlign w:val="center"/>
          </w:tcPr>
          <w:p>
            <w:pPr>
              <w:widowControl/>
              <w:tabs>
                <w:tab w:val="left" w:pos="980"/>
              </w:tabs>
              <w:spacing w:line="294" w:lineRule="atLeast"/>
              <w:ind w:firstLine="1680" w:firstLineChars="800"/>
              <w:jc w:val="right"/>
            </w:pPr>
          </w:p>
          <w:p>
            <w:pPr>
              <w:tabs>
                <w:tab w:val="left" w:pos="980"/>
              </w:tabs>
              <w:spacing w:line="240" w:lineRule="auto"/>
              <w:ind w:firstLine="1680" w:firstLineChars="800"/>
              <w:jc w:val="both"/>
            </w:pPr>
          </w:p>
          <w:p>
            <w:pPr>
              <w:tabs>
                <w:tab w:val="left" w:pos="980"/>
              </w:tabs>
              <w:spacing w:line="520" w:lineRule="exact"/>
              <w:ind w:firstLine="1680" w:firstLineChars="800"/>
              <w:jc w:val="center"/>
            </w:pPr>
          </w:p>
          <w:p>
            <w:pPr>
              <w:tabs>
                <w:tab w:val="left" w:pos="980"/>
              </w:tabs>
              <w:spacing w:line="520" w:lineRule="exact"/>
              <w:ind w:firstLine="1680" w:firstLineChars="800"/>
              <w:jc w:val="center"/>
            </w:pPr>
          </w:p>
          <w:p>
            <w:pPr>
              <w:widowControl/>
              <w:tabs>
                <w:tab w:val="left" w:pos="980"/>
              </w:tabs>
              <w:spacing w:line="294" w:lineRule="atLeast"/>
              <w:ind w:firstLine="1680" w:firstLineChars="800"/>
              <w:jc w:val="center"/>
            </w:pPr>
            <w:r>
              <w:tab/>
            </w: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 xml:space="preserve">        XX统计局（盖章） </w:t>
            </w:r>
          </w:p>
          <w:p>
            <w:pPr>
              <w:tabs>
                <w:tab w:val="left" w:pos="980"/>
              </w:tabs>
              <w:spacing w:line="240" w:lineRule="auto"/>
              <w:ind w:firstLine="2560" w:firstLineChars="800"/>
              <w:jc w:val="left"/>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 xml:space="preserve">年   月   日 </w:t>
            </w:r>
          </w:p>
        </w:tc>
      </w:tr>
    </w:tbl>
    <w:p>
      <w:pPr>
        <w:widowControl/>
        <w:spacing w:line="630" w:lineRule="atLeast"/>
        <w:jc w:val="left"/>
      </w:pPr>
    </w:p>
    <w:p>
      <w:pPr>
        <w:widowControl/>
        <w:spacing w:line="630" w:lineRule="atLeast"/>
        <w:jc w:val="left"/>
      </w:pPr>
      <w:r>
        <w:rPr>
          <w:rFonts w:hint="default" w:ascii="Times New Roman" w:hAnsi="Times New Roman" w:eastAsia="方正黑体_GBK" w:cs="Times New Roman"/>
          <w:b w:val="0"/>
          <w:bCs w:val="0"/>
          <w:i w:val="0"/>
          <w:iCs w:val="0"/>
          <w:color w:val="auto"/>
          <w:kern w:val="0"/>
          <w:sz w:val="32"/>
          <w:szCs w:val="32"/>
          <w:highlight w:val="none"/>
          <w:shd w:val="clear" w:color="FFFFFF" w:fill="FFFFFF"/>
          <w:vertAlign w:val="baseline"/>
          <w:lang w:val="en-US" w:eastAsia="zh-CN" w:bidi="ar-SA"/>
        </w:rPr>
        <w:t>附件3</w:t>
      </w:r>
    </w:p>
    <w:p>
      <w:pPr>
        <w:widowControl/>
        <w:spacing w:line="630" w:lineRule="atLeast"/>
        <w:jc w:val="left"/>
      </w:pPr>
    </w:p>
    <w:p>
      <w:pPr>
        <w:widowControl/>
        <w:spacing w:line="630" w:lineRule="atLeast"/>
        <w:jc w:val="center"/>
      </w:pPr>
      <w:r>
        <w:rPr>
          <w:rStyle w:val="8"/>
          <w:rFonts w:hint="default" w:ascii="Times New Roman" w:hAnsi="Times New Roman" w:eastAsia="方正小标宋_GBK" w:cs="Times New Roman"/>
          <w:b w:val="0"/>
          <w:bCs w:val="0"/>
          <w:i w:val="0"/>
          <w:iCs w:val="0"/>
          <w:color w:val="auto"/>
          <w:kern w:val="0"/>
          <w:sz w:val="44"/>
          <w:szCs w:val="44"/>
          <w:highlight w:val="none"/>
          <w:shd w:val="clear" w:color="FFFFFF" w:fill="FFFFFF"/>
          <w:vertAlign w:val="baseline"/>
          <w:lang w:val="en-US" w:eastAsia="zh-CN" w:bidi="ar-SA"/>
        </w:rPr>
        <w:t>不予信用修复告知书</w:t>
      </w:r>
    </w:p>
    <w:p>
      <w:pPr>
        <w:widowControl/>
        <w:spacing w:line="630" w:lineRule="atLeast"/>
        <w:jc w:val="center"/>
      </w:pPr>
      <w:r>
        <w:rPr>
          <w:rStyle w:val="8"/>
          <w:rFonts w:hint="default" w:ascii="Times New Roman" w:hAnsi="Times New Roman" w:eastAsia="方正仿宋_GBK" w:cs="Times New Roman"/>
          <w:b/>
          <w:bCs/>
          <w:i w:val="0"/>
          <w:iCs w:val="0"/>
          <w:color w:val="auto"/>
          <w:kern w:val="0"/>
          <w:sz w:val="32"/>
          <w:szCs w:val="32"/>
          <w:highlight w:val="none"/>
          <w:shd w:val="clear" w:color="FFFFFF" w:fill="FFFFFF"/>
          <w:vertAlign w:val="baseline"/>
          <w:lang w:val="en-US" w:eastAsia="zh-CN" w:bidi="ar-SA"/>
        </w:rPr>
        <w:t xml:space="preserve">                     </w:t>
      </w: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编号：（年份+四位流水号）</w:t>
      </w:r>
      <w:r>
        <w:rPr>
          <w:rStyle w:val="8"/>
          <w:rFonts w:hint="default" w:ascii="Times New Roman" w:hAnsi="Times New Roman" w:eastAsia="方正仿宋_GBK" w:cs="Times New Roman"/>
          <w:b/>
          <w:bCs/>
          <w:i w:val="0"/>
          <w:iCs w:val="0"/>
          <w:color w:val="auto"/>
          <w:kern w:val="0"/>
          <w:sz w:val="32"/>
          <w:szCs w:val="32"/>
          <w:highlight w:val="none"/>
          <w:shd w:val="clear" w:color="FFFFFF" w:fill="FFFFFF"/>
          <w:vertAlign w:val="baseline"/>
          <w:lang w:val="en-US" w:eastAsia="zh-CN" w:bidi="ar-SA"/>
        </w:rPr>
        <w:t xml:space="preserve">          </w:t>
      </w:r>
    </w:p>
    <w:p>
      <w:pPr>
        <w:widowControl/>
        <w:spacing w:line="630" w:lineRule="atLeast"/>
        <w:jc w:val="both"/>
      </w:pPr>
      <w:r>
        <w:rPr>
          <w:rFonts w:hint="default" w:ascii="Times New Roman" w:hAnsi="Times New Roman" w:eastAsia="方正仿宋_GBK" w:cs="Times New Roman"/>
          <w:b w:val="0"/>
          <w:bCs w:val="0"/>
          <w:i w:val="0"/>
          <w:iCs w:val="0"/>
          <w:color w:val="auto"/>
          <w:kern w:val="0"/>
          <w:sz w:val="32"/>
          <w:szCs w:val="32"/>
          <w:highlight w:val="none"/>
          <w:u w:val="single" w:color="auto"/>
          <w:shd w:val="clear" w:color="FFFFFF" w:fill="FFFFFF"/>
          <w:vertAlign w:val="baseline"/>
          <w:lang w:val="en-US" w:eastAsia="zh-CN" w:bidi="ar-SA"/>
        </w:rPr>
        <w:t xml:space="preserve">                             </w:t>
      </w:r>
      <w:r>
        <w:rPr>
          <w:rFonts w:hint="default" w:ascii="Times New Roman" w:hAnsi="Times New Roman" w:eastAsia="方正仿宋_GBK" w:cs="Times New Roman"/>
          <w:b w:val="0"/>
          <w:bCs w:val="0"/>
          <w:i w:val="0"/>
          <w:iCs w:val="0"/>
          <w:color w:val="auto"/>
          <w:kern w:val="0"/>
          <w:sz w:val="32"/>
          <w:szCs w:val="32"/>
          <w:highlight w:val="none"/>
          <w:shd w:val="clear" w:color="FFFFFF" w:fill="FFFFFF"/>
          <w:vertAlign w:val="baseline"/>
          <w:lang w:val="en-US" w:eastAsia="zh-CN" w:bidi="ar-SA"/>
        </w:rPr>
        <w:t xml:space="preserve">：    </w:t>
      </w:r>
    </w:p>
    <w:p>
      <w:pPr>
        <w:widowControl/>
        <w:spacing w:line="630" w:lineRule="atLeast"/>
        <w:ind w:firstLine="640" w:firstLineChars="200"/>
        <w:jc w:val="both"/>
      </w:pPr>
      <w:r>
        <w:rPr>
          <w:rFonts w:hint="default" w:ascii="Times New Roman" w:hAnsi="Times New Roman" w:eastAsia="方正仿宋_GBK" w:cs="Times New Roman"/>
          <w:b w:val="0"/>
          <w:bCs w:val="0"/>
          <w:i w:val="0"/>
          <w:iCs w:val="0"/>
          <w:color w:val="auto"/>
          <w:kern w:val="0"/>
          <w:sz w:val="32"/>
          <w:szCs w:val="32"/>
          <w:highlight w:val="none"/>
          <w:shd w:val="clear" w:color="FFFFFF" w:fill="FFFFFF"/>
          <w:vertAlign w:val="baseline"/>
          <w:lang w:val="en-US" w:eastAsia="zh-CN" w:bidi="ar-SA"/>
        </w:rPr>
        <w:t>你（单位）于    年   月   日提交的企业统计信用修</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复申请，</w:t>
      </w:r>
      <w:r>
        <w:rPr>
          <w:rFonts w:hint="default" w:ascii="Times New Roman" w:hAnsi="Times New Roman" w:eastAsia="方正仿宋_GBK" w:cs="Times New Roman"/>
          <w:b w:val="0"/>
          <w:bCs w:val="0"/>
          <w:i w:val="0"/>
          <w:iCs w:val="0"/>
          <w:color w:val="auto"/>
          <w:kern w:val="0"/>
          <w:sz w:val="32"/>
          <w:szCs w:val="32"/>
          <w:highlight w:val="none"/>
          <w:shd w:val="clear" w:color="FFFFFF" w:fill="FFFFFF"/>
          <w:vertAlign w:val="baseline"/>
          <w:lang w:val="en-US" w:eastAsia="zh-CN" w:bidi="ar-SA"/>
        </w:rPr>
        <w:t>经审查，不符合《重庆市企业统计信用管理</w:t>
      </w: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办法</w:t>
      </w:r>
      <w:r>
        <w:rPr>
          <w:rFonts w:hint="default" w:ascii="Times New Roman" w:hAnsi="Times New Roman" w:eastAsia="方正仿宋_GBK" w:cs="Times New Roman"/>
          <w:b w:val="0"/>
          <w:bCs w:val="0"/>
          <w:i w:val="0"/>
          <w:iCs w:val="0"/>
          <w:color w:val="auto"/>
          <w:kern w:val="0"/>
          <w:sz w:val="32"/>
          <w:szCs w:val="32"/>
          <w:highlight w:val="none"/>
          <w:shd w:val="clear" w:color="FFFFFF" w:fill="FFFFFF"/>
          <w:vertAlign w:val="baseline"/>
          <w:lang w:val="en-US" w:eastAsia="zh-CN" w:bidi="ar-SA"/>
        </w:rPr>
        <w:t>》</w:t>
      </w:r>
      <w:r>
        <w:rPr>
          <w:rFonts w:hint="default" w:ascii="Times New Roman" w:hAnsi="Times New Roman" w:eastAsia="方正仿宋_GBK" w:cs="Times New Roman"/>
          <w:b w:val="0"/>
          <w:bCs w:val="0"/>
          <w:i w:val="0"/>
          <w:iCs w:val="0"/>
          <w:color w:val="auto"/>
          <w:kern w:val="0"/>
          <w:sz w:val="32"/>
          <w:szCs w:val="32"/>
          <w:highlight w:val="none"/>
          <w:u w:val="single" w:color="auto"/>
          <w:shd w:val="clear" w:color="FFFFFF" w:fill="FFFFFF"/>
          <w:vertAlign w:val="baseline"/>
          <w:lang w:val="en-US" w:eastAsia="zh-CN" w:bidi="ar-SA"/>
        </w:rPr>
        <w:t xml:space="preserve">                              </w:t>
      </w:r>
      <w:r>
        <w:rPr>
          <w:rFonts w:hint="default" w:ascii="Times New Roman" w:hAnsi="Times New Roman" w:eastAsia="方正仿宋_GBK" w:cs="Times New Roman"/>
          <w:b w:val="0"/>
          <w:bCs w:val="0"/>
          <w:i w:val="0"/>
          <w:iCs w:val="0"/>
          <w:color w:val="auto"/>
          <w:kern w:val="0"/>
          <w:sz w:val="32"/>
          <w:szCs w:val="32"/>
          <w:highlight w:val="none"/>
          <w:shd w:val="clear" w:color="FFFFFF" w:fill="FFFFFF"/>
          <w:vertAlign w:val="baseline"/>
          <w:lang w:val="en-US" w:eastAsia="zh-CN" w:bidi="ar-SA"/>
        </w:rPr>
        <w:t>，决定不予信用修复。</w:t>
      </w:r>
    </w:p>
    <w:p>
      <w:pPr>
        <w:widowControl/>
        <w:spacing w:line="294" w:lineRule="atLeast"/>
        <w:jc w:val="left"/>
      </w:pPr>
    </w:p>
    <w:p>
      <w:pPr>
        <w:widowControl/>
        <w:spacing w:line="294" w:lineRule="atLeast"/>
        <w:jc w:val="left"/>
      </w:pPr>
    </w:p>
    <w:p>
      <w:pPr>
        <w:widowControl/>
        <w:spacing w:line="294" w:lineRule="atLeast"/>
        <w:jc w:val="left"/>
      </w:pPr>
    </w:p>
    <w:p>
      <w:pPr>
        <w:widowControl/>
        <w:wordWrap w:val="0"/>
        <w:spacing w:line="630" w:lineRule="atLeast"/>
        <w:ind w:firstLine="420"/>
        <w:jc w:val="right"/>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 xml:space="preserve">  XX统计局</w:t>
      </w:r>
      <w:r>
        <w:rPr>
          <w:rFonts w:hint="default" w:ascii="Times New Roman" w:hAnsi="Times New Roman" w:eastAsia="方正仿宋_GBK" w:cs="Times New Roman"/>
          <w:b w:val="0"/>
          <w:bCs w:val="0"/>
          <w:i w:val="0"/>
          <w:iCs w:val="0"/>
          <w:color w:val="auto"/>
          <w:kern w:val="0"/>
          <w:sz w:val="32"/>
          <w:szCs w:val="32"/>
          <w:highlight w:val="none"/>
          <w:shd w:val="clear" w:color="FFFFFF" w:fill="FFFFFF"/>
          <w:vertAlign w:val="baseline"/>
          <w:lang w:val="en-US" w:eastAsia="zh-CN" w:bidi="ar-SA"/>
        </w:rPr>
        <w:t>（</w:t>
      </w: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盖章</w:t>
      </w:r>
      <w:r>
        <w:rPr>
          <w:rFonts w:hint="default" w:ascii="Times New Roman" w:hAnsi="Times New Roman" w:eastAsia="方正仿宋_GBK" w:cs="Times New Roman"/>
          <w:b w:val="0"/>
          <w:bCs w:val="0"/>
          <w:i w:val="0"/>
          <w:iCs w:val="0"/>
          <w:color w:val="auto"/>
          <w:kern w:val="0"/>
          <w:sz w:val="32"/>
          <w:szCs w:val="32"/>
          <w:highlight w:val="none"/>
          <w:shd w:val="clear" w:color="FFFFFF" w:fill="FFFFFF"/>
          <w:vertAlign w:val="baseline"/>
          <w:lang w:val="en-US" w:eastAsia="zh-CN" w:bidi="ar-SA"/>
        </w:rPr>
        <w:t xml:space="preserve">） </w:t>
      </w:r>
    </w:p>
    <w:p>
      <w:pPr>
        <w:widowControl/>
        <w:wordWrap w:val="0"/>
        <w:spacing w:line="630" w:lineRule="atLeast"/>
        <w:ind w:firstLine="420"/>
        <w:jc w:val="center"/>
      </w:pPr>
      <w:r>
        <w:rPr>
          <w:rFonts w:hint="default" w:ascii="Times New Roman" w:hAnsi="Times New Roman" w:eastAsia="方正仿宋_GBK" w:cs="Times New Roman"/>
          <w:b w:val="0"/>
          <w:bCs w:val="0"/>
          <w:i w:val="0"/>
          <w:iCs w:val="0"/>
          <w:color w:val="auto"/>
          <w:kern w:val="0"/>
          <w:sz w:val="32"/>
          <w:szCs w:val="32"/>
          <w:highlight w:val="none"/>
          <w:shd w:val="clear" w:color="FFFFFF" w:fill="FFFFFF"/>
          <w:vertAlign w:val="baseline"/>
          <w:lang w:val="en-US" w:eastAsia="zh-CN" w:bidi="ar-SA"/>
        </w:rPr>
        <w:t xml:space="preserve">                        年    月    日</w:t>
      </w:r>
    </w:p>
    <w:p>
      <w:pPr>
        <w:widowControl/>
        <w:spacing w:line="294" w:lineRule="atLeast"/>
        <w:jc w:val="left"/>
      </w:pPr>
    </w:p>
    <w:p>
      <w:pPr>
        <w:spacing w:line="240" w:lineRule="auto"/>
        <w:jc w:val="both"/>
      </w:pPr>
    </w:p>
    <w:p>
      <w:pPr>
        <w:spacing w:line="240" w:lineRule="auto"/>
        <w:jc w:val="both"/>
      </w:pPr>
    </w:p>
    <w:p>
      <w:pPr>
        <w:pStyle w:val="2"/>
      </w:pPr>
    </w:p>
    <w:p>
      <w:pPr>
        <w:pStyle w:val="2"/>
      </w:pPr>
    </w:p>
    <w:p>
      <w:pPr>
        <w:pStyle w:val="2"/>
      </w:pPr>
    </w:p>
    <w:p>
      <w:pPr>
        <w:pStyle w:val="2"/>
      </w:pPr>
    </w:p>
    <w:p>
      <w:pPr>
        <w:pStyle w:val="2"/>
      </w:pPr>
    </w:p>
    <w:p>
      <w:pPr>
        <w:pStyle w:val="2"/>
      </w:pPr>
    </w:p>
    <w:p>
      <w:pPr>
        <w:pStyle w:val="2"/>
      </w:pPr>
    </w:p>
    <w:p>
      <w:pPr>
        <w:spacing w:line="240" w:lineRule="auto"/>
        <w:jc w:val="both"/>
      </w:pPr>
    </w:p>
    <w:p>
      <w:pPr>
        <w:spacing w:line="594" w:lineRule="exact"/>
        <w:jc w:val="both"/>
      </w:pPr>
    </w:p>
    <w:p>
      <w:pPr>
        <w:spacing w:line="240" w:lineRule="auto"/>
        <w:jc w:val="both"/>
      </w:pPr>
    </w:p>
    <w:p>
      <w:pPr>
        <w:widowControl/>
        <w:spacing w:line="630" w:lineRule="atLeast"/>
        <w:jc w:val="left"/>
      </w:pPr>
      <w:r>
        <w:rPr>
          <w:rFonts w:hint="default" w:ascii="Times New Roman" w:hAnsi="Times New Roman" w:eastAsia="方正黑体_GBK" w:cs="Times New Roman"/>
          <w:b w:val="0"/>
          <w:bCs w:val="0"/>
          <w:i w:val="0"/>
          <w:iCs w:val="0"/>
          <w:color w:val="auto"/>
          <w:kern w:val="0"/>
          <w:sz w:val="32"/>
          <w:szCs w:val="32"/>
          <w:highlight w:val="none"/>
          <w:shd w:val="clear" w:color="FFFFFF" w:fill="FFFFFF"/>
          <w:vertAlign w:val="baseline"/>
          <w:lang w:val="en-US" w:eastAsia="zh-CN" w:bidi="ar-SA"/>
        </w:rPr>
        <w:t>附件4</w:t>
      </w:r>
    </w:p>
    <w:p>
      <w:pPr>
        <w:widowControl/>
        <w:spacing w:line="630" w:lineRule="atLeast"/>
        <w:jc w:val="left"/>
      </w:pPr>
    </w:p>
    <w:p>
      <w:pPr>
        <w:widowControl/>
        <w:spacing w:line="630" w:lineRule="atLeast"/>
        <w:jc w:val="center"/>
      </w:pPr>
      <w:r>
        <w:rPr>
          <w:rStyle w:val="8"/>
          <w:rFonts w:hint="default" w:ascii="Times New Roman" w:hAnsi="Times New Roman" w:eastAsia="方正小标宋_GBK" w:cs="Times New Roman"/>
          <w:b w:val="0"/>
          <w:bCs w:val="0"/>
          <w:i w:val="0"/>
          <w:iCs w:val="0"/>
          <w:color w:val="auto"/>
          <w:kern w:val="0"/>
          <w:sz w:val="44"/>
          <w:szCs w:val="44"/>
          <w:highlight w:val="none"/>
          <w:shd w:val="clear" w:color="FFFFFF" w:fill="FFFFFF"/>
          <w:vertAlign w:val="baseline"/>
          <w:lang w:val="en-US" w:eastAsia="zh-CN" w:bidi="ar-SA"/>
        </w:rPr>
        <w:t>企业统计信用异议信息处理申请表</w:t>
      </w:r>
    </w:p>
    <w:p>
      <w:pPr>
        <w:widowControl/>
        <w:spacing w:line="630" w:lineRule="atLeast"/>
        <w:jc w:val="left"/>
      </w:pPr>
    </w:p>
    <w:tbl>
      <w:tblPr>
        <w:tblStyle w:val="6"/>
        <w:tblW w:w="0" w:type="auto"/>
        <w:tblInd w:w="-144" w:type="dxa"/>
        <w:tblLayout w:type="fixed"/>
        <w:tblCellMar>
          <w:top w:w="0" w:type="dxa"/>
          <w:left w:w="0" w:type="dxa"/>
          <w:bottom w:w="0" w:type="dxa"/>
          <w:right w:w="0" w:type="dxa"/>
        </w:tblCellMar>
      </w:tblPr>
      <w:tblGrid>
        <w:gridCol w:w="2060"/>
        <w:gridCol w:w="1838"/>
        <w:gridCol w:w="1437"/>
        <w:gridCol w:w="3019"/>
      </w:tblGrid>
      <w:tr>
        <w:tblPrEx>
          <w:tblCellMar>
            <w:top w:w="0" w:type="dxa"/>
            <w:left w:w="0" w:type="dxa"/>
            <w:bottom w:w="0" w:type="dxa"/>
            <w:right w:w="0" w:type="dxa"/>
          </w:tblCellMar>
        </w:tblPrEx>
        <w:trPr>
          <w:trHeight w:val="1090" w:hRule="atLeast"/>
        </w:trPr>
        <w:tc>
          <w:tcPr>
            <w:tcW w:w="206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left"/>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申请单位</w:t>
            </w:r>
          </w:p>
        </w:tc>
        <w:tc>
          <w:tcPr>
            <w:tcW w:w="6294" w:type="dxa"/>
            <w:gridSpan w:val="3"/>
            <w:tcBorders>
              <w:top w:val="single" w:color="auto" w:sz="8" w:space="0"/>
              <w:left w:val="single" w:color="auto" w:sz="8" w:space="0"/>
              <w:bottom w:val="single" w:color="auto" w:sz="8" w:space="0"/>
              <w:right w:val="single" w:color="000000" w:sz="4"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550" w:hRule="atLeast"/>
        </w:trPr>
        <w:tc>
          <w:tcPr>
            <w:tcW w:w="206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联系人</w:t>
            </w:r>
          </w:p>
        </w:tc>
        <w:tc>
          <w:tcPr>
            <w:tcW w:w="1838"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p>
        </w:tc>
        <w:tc>
          <w:tcPr>
            <w:tcW w:w="1437"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联系方式</w:t>
            </w:r>
          </w:p>
        </w:tc>
        <w:tc>
          <w:tcPr>
            <w:tcW w:w="3019"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820" w:hRule="atLeast"/>
        </w:trPr>
        <w:tc>
          <w:tcPr>
            <w:tcW w:w="2060" w:type="dxa"/>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pPr>
              <w:widowControl/>
              <w:spacing w:line="294" w:lineRule="atLeast"/>
              <w:jc w:val="left"/>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异议信息描述</w:t>
            </w:r>
          </w:p>
        </w:tc>
        <w:tc>
          <w:tcPr>
            <w:tcW w:w="6294" w:type="dxa"/>
            <w:gridSpan w:val="3"/>
            <w:tcBorders>
              <w:top w:val="single" w:color="auto" w:sz="8" w:space="0"/>
              <w:left w:val="single" w:color="auto" w:sz="8" w:space="0"/>
              <w:bottom w:val="single" w:color="auto" w:sz="4" w:space="0"/>
              <w:right w:val="single" w:color="000000" w:sz="4"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2702" w:hRule="atLeast"/>
        </w:trPr>
        <w:tc>
          <w:tcPr>
            <w:tcW w:w="20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94" w:lineRule="atLeast"/>
              <w:jc w:val="left"/>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申请理由（可附页）</w:t>
            </w:r>
          </w:p>
        </w:tc>
        <w:tc>
          <w:tcPr>
            <w:tcW w:w="629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94" w:lineRule="atLeast"/>
              <w:jc w:val="right"/>
            </w:pPr>
          </w:p>
          <w:p>
            <w:pPr>
              <w:widowControl/>
              <w:spacing w:line="294" w:lineRule="atLeast"/>
              <w:jc w:val="right"/>
            </w:pPr>
          </w:p>
          <w:p>
            <w:pPr>
              <w:widowControl/>
              <w:spacing w:line="294" w:lineRule="atLeast"/>
              <w:jc w:val="right"/>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 xml:space="preserve">年     月   日 </w:t>
            </w:r>
          </w:p>
          <w:p>
            <w:pPr>
              <w:widowControl/>
              <w:spacing w:line="294" w:lineRule="atLeast"/>
              <w:jc w:val="right"/>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（盖章）</w:t>
            </w:r>
          </w:p>
        </w:tc>
      </w:tr>
      <w:tr>
        <w:tblPrEx>
          <w:tblCellMar>
            <w:top w:w="0" w:type="dxa"/>
            <w:left w:w="0" w:type="dxa"/>
            <w:bottom w:w="0" w:type="dxa"/>
            <w:right w:w="0" w:type="dxa"/>
          </w:tblCellMar>
        </w:tblPrEx>
        <w:trPr>
          <w:trHeight w:val="3090" w:hRule="atLeast"/>
        </w:trPr>
        <w:tc>
          <w:tcPr>
            <w:tcW w:w="2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94" w:lineRule="atLeast"/>
              <w:jc w:val="left"/>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信用承诺</w:t>
            </w:r>
          </w:p>
        </w:tc>
        <w:tc>
          <w:tcPr>
            <w:tcW w:w="6294" w:type="dxa"/>
            <w:gridSpan w:val="3"/>
            <w:tcBorders>
              <w:top w:val="single" w:color="auto" w:sz="4" w:space="0"/>
              <w:left w:val="single" w:color="auto" w:sz="4" w:space="0"/>
              <w:bottom w:val="single" w:color="auto" w:sz="4" w:space="0"/>
              <w:right w:val="single" w:color="auto" w:sz="4" w:space="0"/>
            </w:tcBorders>
            <w:tcMar>
              <w:top w:w="0" w:type="dxa"/>
              <w:left w:w="540" w:type="dxa"/>
              <w:bottom w:w="0" w:type="dxa"/>
              <w:right w:w="108" w:type="dxa"/>
            </w:tcMar>
            <w:vAlign w:val="center"/>
          </w:tcPr>
          <w:p>
            <w:pPr>
              <w:widowControl/>
              <w:spacing w:line="294" w:lineRule="atLeast"/>
              <w:ind w:firstLine="1920" w:firstLineChars="600"/>
              <w:jc w:val="left"/>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 xml:space="preserve">     本人承诺所填写内容和提交的相关材料真实准确，否则由此产生的相应后果自负。</w:t>
            </w:r>
          </w:p>
          <w:p>
            <w:pPr>
              <w:widowControl/>
              <w:spacing w:line="294" w:lineRule="atLeast"/>
              <w:ind w:firstLine="1920" w:firstLineChars="600"/>
              <w:jc w:val="left"/>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签字：        （盖章）</w:t>
            </w:r>
          </w:p>
        </w:tc>
      </w:tr>
      <w:tr>
        <w:tblPrEx>
          <w:tblCellMar>
            <w:top w:w="0" w:type="dxa"/>
            <w:left w:w="0" w:type="dxa"/>
            <w:bottom w:w="0" w:type="dxa"/>
            <w:right w:w="0" w:type="dxa"/>
          </w:tblCellMar>
        </w:tblPrEx>
        <w:trPr>
          <w:trHeight w:val="281" w:hRule="atLeast"/>
        </w:trPr>
        <w:tc>
          <w:tcPr>
            <w:tcW w:w="8354"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94" w:lineRule="atLeast"/>
              <w:jc w:val="left"/>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以下内容由统计机构填写</w:t>
            </w:r>
          </w:p>
        </w:tc>
      </w:tr>
      <w:tr>
        <w:tblPrEx>
          <w:tblCellMar>
            <w:top w:w="0" w:type="dxa"/>
            <w:left w:w="0" w:type="dxa"/>
            <w:bottom w:w="0" w:type="dxa"/>
            <w:right w:w="0" w:type="dxa"/>
          </w:tblCellMar>
        </w:tblPrEx>
        <w:trPr>
          <w:trHeight w:val="1238" w:hRule="atLeast"/>
        </w:trPr>
        <w:tc>
          <w:tcPr>
            <w:tcW w:w="8354"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tabs>
                <w:tab w:val="left" w:pos="1540"/>
              </w:tabs>
              <w:spacing w:line="294" w:lineRule="atLeast"/>
              <w:ind w:firstLine="840" w:firstLineChars="300"/>
              <w:jc w:val="left"/>
            </w:pPr>
            <w:r>
              <w:rPr>
                <w:rFonts w:hint="default" w:ascii="Times New Roman" w:hAnsi="Times New Roman" w:eastAsia="方正仿宋_GBK" w:cs="Times New Roman"/>
                <w:b w:val="0"/>
                <w:bCs w:val="0"/>
                <w:i w:val="0"/>
                <w:iCs w:val="0"/>
                <w:color w:val="auto"/>
                <w:kern w:val="0"/>
                <w:sz w:val="28"/>
                <w:szCs w:val="24"/>
                <w:highlight w:val="none"/>
                <w:vertAlign w:val="baseline"/>
                <w:lang w:val="en-US" w:eastAsia="zh-CN" w:bidi="ar-SA"/>
              </w:rPr>
              <w:t>经核对</w:t>
            </w: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w:t>
            </w:r>
            <w:r>
              <w:rPr>
                <w:rFonts w:hint="default" w:ascii="Times New Roman" w:hAnsi="Times New Roman" w:eastAsia="方正仿宋_GBK" w:cs="Times New Roman"/>
                <w:b w:val="0"/>
                <w:bCs w:val="0"/>
                <w:i w:val="0"/>
                <w:iCs w:val="0"/>
                <w:color w:val="auto"/>
                <w:kern w:val="0"/>
                <w:sz w:val="28"/>
                <w:szCs w:val="24"/>
                <w:highlight w:val="none"/>
                <w:vertAlign w:val="baseline"/>
                <w:lang w:val="en-US" w:eastAsia="zh-CN" w:bidi="ar-SA"/>
              </w:rPr>
              <w:t xml:space="preserve">申报单位提交 </w:t>
            </w:r>
            <w:r>
              <w:rPr>
                <w:rFonts w:hint="default" w:ascii="Times New Roman" w:hAnsi="Times New Roman" w:eastAsia="方正仿宋_GBK" w:cs="Times New Roman"/>
                <w:b w:val="0"/>
                <w:bCs w:val="0"/>
                <w:i w:val="0"/>
                <w:iCs w:val="0"/>
                <w:color w:val="auto"/>
                <w:kern w:val="0"/>
                <w:sz w:val="28"/>
                <w:szCs w:val="24"/>
                <w:highlight w:val="none"/>
                <w:u w:val="single" w:color="auto"/>
                <w:vertAlign w:val="baseline"/>
                <w:lang w:val="en-US" w:eastAsia="zh-CN" w:bidi="ar-SA"/>
              </w:rPr>
              <w:t xml:space="preserve">     </w:t>
            </w:r>
            <w:r>
              <w:rPr>
                <w:rFonts w:hint="default" w:ascii="Times New Roman" w:hAnsi="Times New Roman" w:eastAsia="方正仿宋_GBK" w:cs="Times New Roman"/>
                <w:b w:val="0"/>
                <w:bCs w:val="0"/>
                <w:i w:val="0"/>
                <w:iCs w:val="0"/>
                <w:color w:val="auto"/>
                <w:kern w:val="0"/>
                <w:sz w:val="28"/>
                <w:szCs w:val="24"/>
                <w:highlight w:val="none"/>
                <w:vertAlign w:val="baseline"/>
                <w:lang w:val="en-US" w:eastAsia="zh-CN" w:bidi="ar-SA"/>
              </w:rPr>
              <w:t>份材料</w:t>
            </w: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w:t>
            </w:r>
            <w:r>
              <w:rPr>
                <w:rFonts w:hint="default" w:ascii="Times New Roman" w:hAnsi="Times New Roman" w:eastAsia="方正仿宋_GBK" w:cs="Times New Roman"/>
                <w:b w:val="0"/>
                <w:bCs w:val="0"/>
                <w:i w:val="0"/>
                <w:iCs w:val="0"/>
                <w:color w:val="auto"/>
                <w:kern w:val="0"/>
                <w:sz w:val="28"/>
                <w:szCs w:val="24"/>
                <w:highlight w:val="none"/>
                <w:vertAlign w:val="baseline"/>
                <w:lang w:val="en-US" w:eastAsia="zh-CN" w:bidi="ar-SA"/>
              </w:rPr>
              <w:t>予以接收。</w:t>
            </w:r>
          </w:p>
          <w:p>
            <w:pPr>
              <w:spacing w:line="520" w:lineRule="exact"/>
              <w:jc w:val="both"/>
            </w:pPr>
            <w:r>
              <w:rPr>
                <w:rFonts w:hint="default" w:ascii="Times New Roman" w:hAnsi="Times New Roman" w:eastAsia="方正仿宋_GBK" w:cs="Times New Roman"/>
                <w:b w:val="0"/>
                <w:bCs w:val="0"/>
                <w:i w:val="0"/>
                <w:iCs w:val="0"/>
                <w:color w:val="auto"/>
                <w:kern w:val="0"/>
                <w:sz w:val="28"/>
                <w:szCs w:val="24"/>
                <w:highlight w:val="none"/>
                <w:vertAlign w:val="baseline"/>
                <w:lang w:val="en-US" w:eastAsia="zh-CN" w:bidi="ar-SA"/>
              </w:rPr>
              <w:t>接收者(签字):                  接收日期:   年   月   日</w:t>
            </w:r>
          </w:p>
        </w:tc>
      </w:tr>
    </w:tbl>
    <w:p>
      <w:pPr>
        <w:widowControl/>
        <w:spacing w:line="630" w:lineRule="atLeast"/>
        <w:jc w:val="left"/>
      </w:pPr>
      <w:r>
        <w:rPr>
          <w:rFonts w:hint="default" w:ascii="Times New Roman" w:hAnsi="Times New Roman" w:eastAsia="方正黑体_GBK" w:cs="Times New Roman"/>
          <w:b w:val="0"/>
          <w:bCs w:val="0"/>
          <w:i w:val="0"/>
          <w:iCs w:val="0"/>
          <w:color w:val="auto"/>
          <w:kern w:val="0"/>
          <w:sz w:val="32"/>
          <w:szCs w:val="32"/>
          <w:highlight w:val="none"/>
          <w:shd w:val="clear" w:color="FFFFFF" w:fill="FFFFFF"/>
          <w:vertAlign w:val="baseline"/>
          <w:lang w:val="en-US" w:eastAsia="zh-CN" w:bidi="ar-SA"/>
        </w:rPr>
        <w:t>备注:本表一式两份</w:t>
      </w:r>
    </w:p>
    <w:p>
      <w:pPr>
        <w:widowControl/>
        <w:spacing w:line="630" w:lineRule="atLeast"/>
        <w:jc w:val="left"/>
      </w:pPr>
      <w:r>
        <w:rPr>
          <w:rFonts w:hint="default" w:ascii="Times New Roman" w:hAnsi="Times New Roman" w:eastAsia="方正黑体_GBK" w:cs="Times New Roman"/>
          <w:b w:val="0"/>
          <w:bCs w:val="0"/>
          <w:i w:val="0"/>
          <w:iCs w:val="0"/>
          <w:color w:val="auto"/>
          <w:kern w:val="0"/>
          <w:sz w:val="32"/>
          <w:szCs w:val="32"/>
          <w:highlight w:val="none"/>
          <w:shd w:val="clear" w:color="FFFFFF" w:fill="FFFFFF"/>
          <w:vertAlign w:val="baseline"/>
          <w:lang w:val="en-US" w:eastAsia="zh-CN" w:bidi="ar-SA"/>
        </w:rPr>
        <w:t>附件5</w:t>
      </w:r>
    </w:p>
    <w:p>
      <w:pPr>
        <w:widowControl/>
        <w:spacing w:line="630" w:lineRule="atLeast"/>
        <w:jc w:val="both"/>
      </w:pPr>
    </w:p>
    <w:p>
      <w:pPr>
        <w:widowControl/>
        <w:spacing w:line="630" w:lineRule="atLeast"/>
        <w:jc w:val="center"/>
      </w:pPr>
      <w:r>
        <w:rPr>
          <w:rStyle w:val="8"/>
          <w:rFonts w:hint="default" w:ascii="Times New Roman" w:hAnsi="Times New Roman" w:eastAsia="方正小标宋_GBK" w:cs="Times New Roman"/>
          <w:b w:val="0"/>
          <w:bCs w:val="0"/>
          <w:i w:val="0"/>
          <w:iCs w:val="0"/>
          <w:color w:val="auto"/>
          <w:kern w:val="0"/>
          <w:sz w:val="44"/>
          <w:szCs w:val="44"/>
          <w:highlight w:val="none"/>
          <w:shd w:val="clear" w:color="FFFFFF" w:fill="FFFFFF"/>
          <w:vertAlign w:val="baseline"/>
          <w:lang w:val="en-US" w:eastAsia="zh-CN" w:bidi="ar-SA"/>
        </w:rPr>
        <w:t>企业统计</w:t>
      </w:r>
      <w:r>
        <w:rPr>
          <w:rStyle w:val="8"/>
          <w:rFonts w:hint="default" w:ascii="Times New Roman" w:hAnsi="Times New Roman" w:eastAsia="方正小标宋_GBK" w:cs="Times New Roman"/>
          <w:b w:val="0"/>
          <w:bCs w:val="0"/>
          <w:i w:val="0"/>
          <w:iCs w:val="0"/>
          <w:color w:val="auto"/>
          <w:spacing w:val="-6"/>
          <w:kern w:val="0"/>
          <w:sz w:val="44"/>
          <w:szCs w:val="44"/>
          <w:highlight w:val="none"/>
          <w:shd w:val="clear" w:color="FFFFFF" w:fill="FFFFFF"/>
          <w:vertAlign w:val="baseline"/>
          <w:lang w:val="en-US" w:eastAsia="zh-CN" w:bidi="ar-SA"/>
        </w:rPr>
        <w:t>信用异议信息处理结果反馈单</w:t>
      </w:r>
    </w:p>
    <w:p>
      <w:pPr>
        <w:widowControl/>
        <w:spacing w:line="630" w:lineRule="atLeast"/>
        <w:jc w:val="center"/>
      </w:pPr>
      <w:r>
        <w:rPr>
          <w:rFonts w:hint="default" w:ascii="Times New Roman" w:hAnsi="Times New Roman" w:eastAsia="微软雅黑" w:cs="Times New Roman"/>
          <w:b w:val="0"/>
          <w:bCs w:val="0"/>
          <w:i w:val="0"/>
          <w:iCs w:val="0"/>
          <w:color w:val="auto"/>
          <w:kern w:val="0"/>
          <w:sz w:val="32"/>
          <w:szCs w:val="32"/>
          <w:highlight w:val="none"/>
          <w:vertAlign w:val="baseline"/>
          <w:lang w:val="en-US" w:eastAsia="zh-CN" w:bidi="ar-SA"/>
        </w:rPr>
        <w:t xml:space="preserve">                      </w:t>
      </w:r>
      <w:r>
        <w:rPr>
          <w:rStyle w:val="8"/>
          <w:rFonts w:hint="default" w:ascii="Times New Roman" w:hAnsi="Times New Roman" w:eastAsia="方正仿宋_GBK" w:cs="Times New Roman"/>
          <w:b/>
          <w:bCs/>
          <w:i w:val="0"/>
          <w:iCs w:val="0"/>
          <w:color w:val="auto"/>
          <w:kern w:val="0"/>
          <w:sz w:val="32"/>
          <w:szCs w:val="32"/>
          <w:highlight w:val="none"/>
          <w:shd w:val="clear" w:color="FFFFFF" w:fill="FFFFFF"/>
          <w:vertAlign w:val="baseline"/>
          <w:lang w:val="en-US" w:eastAsia="zh-CN" w:bidi="ar-SA"/>
        </w:rPr>
        <w:t>编号：</w:t>
      </w: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（年份+四位流水号）</w:t>
      </w:r>
      <w:r>
        <w:rPr>
          <w:rStyle w:val="8"/>
          <w:rFonts w:hint="default" w:ascii="Times New Roman" w:hAnsi="Times New Roman" w:eastAsia="方正仿宋_GBK" w:cs="Times New Roman"/>
          <w:b/>
          <w:bCs/>
          <w:i w:val="0"/>
          <w:iCs w:val="0"/>
          <w:color w:val="auto"/>
          <w:kern w:val="0"/>
          <w:sz w:val="32"/>
          <w:szCs w:val="32"/>
          <w:highlight w:val="none"/>
          <w:shd w:val="clear" w:color="FFFFFF" w:fill="FFFFFF"/>
          <w:vertAlign w:val="baseline"/>
          <w:lang w:val="en-US" w:eastAsia="zh-CN" w:bidi="ar-SA"/>
        </w:rPr>
        <w:t xml:space="preserve">              </w:t>
      </w:r>
    </w:p>
    <w:tbl>
      <w:tblPr>
        <w:tblStyle w:val="6"/>
        <w:tblW w:w="0" w:type="auto"/>
        <w:tblInd w:w="0" w:type="dxa"/>
        <w:tblLayout w:type="fixed"/>
        <w:tblCellMar>
          <w:top w:w="0" w:type="dxa"/>
          <w:left w:w="0" w:type="dxa"/>
          <w:bottom w:w="0" w:type="dxa"/>
          <w:right w:w="0" w:type="dxa"/>
        </w:tblCellMar>
      </w:tblPr>
      <w:tblGrid>
        <w:gridCol w:w="1461"/>
        <w:gridCol w:w="6749"/>
      </w:tblGrid>
      <w:tr>
        <w:tblPrEx>
          <w:tblCellMar>
            <w:top w:w="0" w:type="dxa"/>
            <w:left w:w="0" w:type="dxa"/>
            <w:bottom w:w="0" w:type="dxa"/>
            <w:right w:w="0" w:type="dxa"/>
          </w:tblCellMar>
        </w:tblPrEx>
        <w:trPr>
          <w:trHeight w:val="460" w:hRule="atLeast"/>
        </w:trPr>
        <w:tc>
          <w:tcPr>
            <w:tcW w:w="146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left"/>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申请单位</w:t>
            </w:r>
          </w:p>
        </w:tc>
        <w:tc>
          <w:tcPr>
            <w:tcW w:w="674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624" w:hRule="atLeast"/>
        </w:trPr>
        <w:tc>
          <w:tcPr>
            <w:tcW w:w="1461" w:type="dxa"/>
            <w:vMerge w:val="restart"/>
            <w:tcBorders>
              <w:top w:val="single" w:color="auto" w:sz="8" w:space="0"/>
              <w:left w:val="single" w:color="auto" w:sz="8" w:space="0"/>
              <w:bottom w:val="single" w:color="000000" w:sz="4" w:space="0"/>
              <w:right w:val="single" w:color="auto" w:sz="8" w:space="0"/>
            </w:tcBorders>
            <w:tcMar>
              <w:top w:w="0" w:type="dxa"/>
              <w:left w:w="0" w:type="dxa"/>
              <w:bottom w:w="0" w:type="dxa"/>
              <w:right w:w="0" w:type="dxa"/>
            </w:tcMar>
            <w:vAlign w:val="center"/>
          </w:tcPr>
          <w:p>
            <w:pPr>
              <w:widowControl/>
              <w:spacing w:line="294" w:lineRule="atLeast"/>
              <w:jc w:val="left"/>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异议信息</w:t>
            </w:r>
            <w:r>
              <w:rPr>
                <w:rStyle w:val="8"/>
                <w:rFonts w:ascii="Times New Roman" w:hAnsi="Times New Roman" w:eastAsia="方正仿宋_GBK" w:cs="Times New Roman"/>
                <w:b/>
                <w:bCs/>
                <w:i w:val="0"/>
                <w:iCs w:val="0"/>
                <w:color w:val="auto"/>
                <w:kern w:val="0"/>
                <w:sz w:val="32"/>
                <w:szCs w:val="32"/>
                <w:highlight w:val="none"/>
                <w:vertAlign w:val="baseline"/>
                <w:lang w:val="en-US" w:eastAsia="zh-CN" w:bidi="ar-SA"/>
              </w:rPr>
              <w:br w:type="textWrapping"/>
            </w: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申请内容</w:t>
            </w:r>
          </w:p>
        </w:tc>
        <w:tc>
          <w:tcPr>
            <w:tcW w:w="6749" w:type="dxa"/>
            <w:vMerge w:val="restart"/>
            <w:tcBorders>
              <w:top w:val="single" w:color="auto" w:sz="8" w:space="0"/>
              <w:left w:val="single" w:color="auto" w:sz="8" w:space="0"/>
              <w:bottom w:val="single" w:color="000000" w:sz="4" w:space="0"/>
              <w:right w:val="single" w:color="auto" w:sz="8"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1700" w:hRule="atLeast"/>
        </w:trPr>
        <w:tc>
          <w:tcPr>
            <w:tcW w:w="1461"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294" w:lineRule="atLeast"/>
              <w:jc w:val="left"/>
            </w:pPr>
          </w:p>
        </w:tc>
        <w:tc>
          <w:tcPr>
            <w:tcW w:w="6749"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294" w:lineRule="atLeast"/>
              <w:jc w:val="left"/>
            </w:pPr>
          </w:p>
        </w:tc>
      </w:tr>
      <w:tr>
        <w:tblPrEx>
          <w:tblCellMar>
            <w:top w:w="0" w:type="dxa"/>
            <w:left w:w="0" w:type="dxa"/>
            <w:bottom w:w="0" w:type="dxa"/>
            <w:right w:w="0" w:type="dxa"/>
          </w:tblCellMar>
        </w:tblPrEx>
        <w:trPr>
          <w:trHeight w:val="624" w:hRule="atLeast"/>
        </w:trPr>
        <w:tc>
          <w:tcPr>
            <w:tcW w:w="1461" w:type="dxa"/>
            <w:vMerge w:val="restart"/>
            <w:tcBorders>
              <w:top w:val="single" w:color="000000" w:sz="4" w:space="0"/>
              <w:left w:val="single" w:color="auto" w:sz="8" w:space="0"/>
              <w:bottom w:val="single" w:color="000000" w:sz="4" w:space="0"/>
              <w:right w:val="single" w:color="auto" w:sz="8" w:space="0"/>
            </w:tcBorders>
            <w:tcMar>
              <w:top w:w="0" w:type="dxa"/>
              <w:left w:w="0" w:type="dxa"/>
              <w:bottom w:w="0" w:type="dxa"/>
              <w:right w:w="0" w:type="dxa"/>
            </w:tcMar>
            <w:vAlign w:val="center"/>
          </w:tcPr>
          <w:p>
            <w:pPr>
              <w:widowControl/>
              <w:spacing w:line="294" w:lineRule="atLeast"/>
              <w:jc w:val="left"/>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异议信息</w:t>
            </w:r>
            <w:r>
              <w:rPr>
                <w:rStyle w:val="8"/>
                <w:rFonts w:ascii="Times New Roman" w:hAnsi="Times New Roman" w:eastAsia="方正仿宋_GBK" w:cs="Times New Roman"/>
                <w:b/>
                <w:bCs/>
                <w:i w:val="0"/>
                <w:iCs w:val="0"/>
                <w:color w:val="auto"/>
                <w:kern w:val="0"/>
                <w:sz w:val="32"/>
                <w:szCs w:val="32"/>
                <w:highlight w:val="none"/>
                <w:vertAlign w:val="baseline"/>
                <w:lang w:val="en-US" w:eastAsia="zh-CN" w:bidi="ar-SA"/>
              </w:rPr>
              <w:br w:type="textWrapping"/>
            </w: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处理结果</w:t>
            </w:r>
          </w:p>
        </w:tc>
        <w:tc>
          <w:tcPr>
            <w:tcW w:w="6749" w:type="dxa"/>
            <w:vMerge w:val="restart"/>
            <w:tcBorders>
              <w:top w:val="single" w:color="000000" w:sz="4" w:space="0"/>
              <w:left w:val="single" w:color="auto" w:sz="8" w:space="0"/>
              <w:bottom w:val="single" w:color="000000" w:sz="4" w:space="0"/>
              <w:right w:val="single" w:color="auto" w:sz="8" w:space="0"/>
            </w:tcBorders>
            <w:tcMar>
              <w:top w:w="0" w:type="dxa"/>
              <w:left w:w="0" w:type="dxa"/>
              <w:bottom w:w="0" w:type="dxa"/>
              <w:right w:w="0" w:type="dxa"/>
            </w:tcMar>
            <w:vAlign w:val="bottom"/>
          </w:tcPr>
          <w:p>
            <w:pPr>
              <w:widowControl/>
              <w:spacing w:line="294" w:lineRule="atLeast"/>
              <w:jc w:val="right"/>
              <w:textAlignment w:val="bottom"/>
            </w:pP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 xml:space="preserve"> XX统计局       </w:t>
            </w:r>
            <w:r>
              <w:rPr>
                <w:rFonts w:ascii="Times New Roman" w:hAnsi="Times New Roman" w:eastAsia="方正仿宋_GBK" w:cs="Times New Roman"/>
                <w:b w:val="0"/>
                <w:bCs w:val="0"/>
                <w:i w:val="0"/>
                <w:iCs w:val="0"/>
                <w:color w:val="auto"/>
                <w:kern w:val="0"/>
                <w:sz w:val="32"/>
                <w:szCs w:val="32"/>
                <w:highlight w:val="none"/>
                <w:vertAlign w:val="baseline"/>
                <w:lang w:val="en-US" w:eastAsia="zh-CN" w:bidi="ar-SA"/>
              </w:rPr>
              <w:br w:type="textWrapping"/>
            </w:r>
            <w:r>
              <w:rPr>
                <w:rFonts w:hint="default" w:ascii="Times New Roman" w:hAnsi="Times New Roman" w:eastAsia="方正仿宋_GBK" w:cs="Times New Roman"/>
                <w:b w:val="0"/>
                <w:bCs w:val="0"/>
                <w:i w:val="0"/>
                <w:iCs w:val="0"/>
                <w:color w:val="auto"/>
                <w:kern w:val="0"/>
                <w:sz w:val="32"/>
                <w:szCs w:val="32"/>
                <w:highlight w:val="none"/>
                <w:vertAlign w:val="baseline"/>
                <w:lang w:val="en-US" w:eastAsia="zh-CN" w:bidi="ar-SA"/>
              </w:rPr>
              <w:t xml:space="preserve">    年  月  日  （盖章）    </w:t>
            </w:r>
          </w:p>
        </w:tc>
      </w:tr>
      <w:tr>
        <w:tblPrEx>
          <w:tblCellMar>
            <w:top w:w="0" w:type="dxa"/>
            <w:left w:w="0" w:type="dxa"/>
            <w:bottom w:w="0" w:type="dxa"/>
            <w:right w:w="0" w:type="dxa"/>
          </w:tblCellMar>
        </w:tblPrEx>
        <w:trPr>
          <w:trHeight w:val="2980" w:hRule="atLeast"/>
        </w:trPr>
        <w:tc>
          <w:tcPr>
            <w:tcW w:w="1461" w:type="dxa"/>
            <w:vMerge w:val="continue"/>
            <w:tcBorders>
              <w:top w:val="single" w:color="000000" w:sz="4" w:space="0"/>
              <w:left w:val="single" w:color="auto" w:sz="8" w:space="0"/>
              <w:bottom w:val="single" w:color="000000" w:sz="4" w:space="0"/>
              <w:right w:val="single" w:color="auto" w:sz="8" w:space="0"/>
            </w:tcBorders>
            <w:vAlign w:val="center"/>
          </w:tcPr>
          <w:p>
            <w:pPr>
              <w:widowControl/>
              <w:spacing w:line="294" w:lineRule="atLeast"/>
              <w:jc w:val="left"/>
            </w:pPr>
          </w:p>
        </w:tc>
        <w:tc>
          <w:tcPr>
            <w:tcW w:w="6749" w:type="dxa"/>
            <w:vMerge w:val="continue"/>
            <w:tcBorders>
              <w:top w:val="single" w:color="000000" w:sz="4" w:space="0"/>
              <w:left w:val="single" w:color="auto" w:sz="8" w:space="0"/>
              <w:bottom w:val="single" w:color="000000" w:sz="4" w:space="0"/>
              <w:right w:val="single" w:color="auto" w:sz="8" w:space="0"/>
            </w:tcBorders>
            <w:vAlign w:val="bottom"/>
          </w:tcPr>
          <w:p>
            <w:pPr>
              <w:widowControl/>
              <w:spacing w:line="294" w:lineRule="atLeast"/>
              <w:jc w:val="right"/>
              <w:textAlignment w:val="bottom"/>
            </w:pPr>
          </w:p>
        </w:tc>
      </w:tr>
      <w:tr>
        <w:tblPrEx>
          <w:tblCellMar>
            <w:top w:w="0" w:type="dxa"/>
            <w:left w:w="0" w:type="dxa"/>
            <w:bottom w:w="0" w:type="dxa"/>
            <w:right w:w="0" w:type="dxa"/>
          </w:tblCellMar>
        </w:tblPrEx>
        <w:trPr>
          <w:trHeight w:val="890" w:hRule="atLeast"/>
        </w:trPr>
        <w:tc>
          <w:tcPr>
            <w:tcW w:w="1461" w:type="dxa"/>
            <w:tcBorders>
              <w:top w:val="single" w:color="000000" w:sz="4"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r>
              <w:rPr>
                <w:rStyle w:val="8"/>
                <w:rFonts w:hint="default" w:ascii="Times New Roman" w:hAnsi="Times New Roman" w:eastAsia="方正仿宋_GBK" w:cs="Times New Roman"/>
                <w:b/>
                <w:bCs/>
                <w:i w:val="0"/>
                <w:iCs w:val="0"/>
                <w:color w:val="auto"/>
                <w:kern w:val="0"/>
                <w:sz w:val="32"/>
                <w:szCs w:val="32"/>
                <w:highlight w:val="none"/>
                <w:vertAlign w:val="baseline"/>
                <w:lang w:val="en-US" w:eastAsia="zh-CN" w:bidi="ar-SA"/>
              </w:rPr>
              <w:t>备注</w:t>
            </w:r>
          </w:p>
        </w:tc>
        <w:tc>
          <w:tcPr>
            <w:tcW w:w="6749" w:type="dxa"/>
            <w:tcBorders>
              <w:top w:val="single" w:color="000000" w:sz="4"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p>
        </w:tc>
      </w:tr>
    </w:tbl>
    <w:p>
      <w:pPr>
        <w:widowControl/>
        <w:spacing w:line="630" w:lineRule="atLeast"/>
        <w:jc w:val="left"/>
      </w:pPr>
    </w:p>
    <w:p>
      <w:pPr>
        <w:widowControl/>
        <w:spacing w:line="630" w:lineRule="atLeast"/>
        <w:jc w:val="left"/>
      </w:pPr>
    </w:p>
    <w:bookmarkEnd w:id="2"/>
    <w:bookmarkEnd w:id="3"/>
    <w:bookmarkEnd w:id="4"/>
    <w:bookmarkEnd w:id="5"/>
    <w:bookmarkEnd w:id="6"/>
    <w:p>
      <w:pPr>
        <w:widowControl/>
        <w:spacing w:line="630" w:lineRule="atLeast"/>
        <w:jc w:val="left"/>
      </w:pPr>
    </w:p>
    <w:p>
      <w:pPr>
        <w:spacing w:line="240" w:lineRule="auto"/>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20603050000020304"/>
    <w:charset w:val="00"/>
    <w:family w:val="roman"/>
    <w:pitch w:val="default"/>
    <w:sig w:usb0="00000000" w:usb1="00000000" w:usb2="00000008" w:usb3="00000000" w:csb0="000001FF"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黑体_GBK">
    <w:panose1 w:val="02000000000000000000"/>
    <w:charset w:val="86"/>
    <w:family w:val="roman"/>
    <w:pitch w:val="default"/>
    <w:sig w:usb0="00000001" w:usb1="08000000" w:usb2="00000000" w:usb3="00000000" w:csb0="00040000" w:csb1="00000000"/>
  </w:font>
  <w:font w:name="微软雅黑">
    <w:altName w:val="方正黑体_GBK"/>
    <w:panose1 w:val="02010600030000010101"/>
    <w:charset w:val="7A"/>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BFF09A"/>
    <w:rsid w:val="0B77CF40"/>
    <w:rsid w:val="0B7F2D74"/>
    <w:rsid w:val="0D7DAC35"/>
    <w:rsid w:val="0D8DC418"/>
    <w:rsid w:val="0F696774"/>
    <w:rsid w:val="12DE3F13"/>
    <w:rsid w:val="12F615C0"/>
    <w:rsid w:val="1677238E"/>
    <w:rsid w:val="167D7C57"/>
    <w:rsid w:val="16FB0B92"/>
    <w:rsid w:val="1753574D"/>
    <w:rsid w:val="175EC966"/>
    <w:rsid w:val="17F35C0C"/>
    <w:rsid w:val="1A5F8D2F"/>
    <w:rsid w:val="1AF1AA2F"/>
    <w:rsid w:val="1B7B7211"/>
    <w:rsid w:val="1BDEC598"/>
    <w:rsid w:val="1BF6A44D"/>
    <w:rsid w:val="1C5DFE70"/>
    <w:rsid w:val="1C6FAF34"/>
    <w:rsid w:val="1D4B8FC7"/>
    <w:rsid w:val="1D6F231E"/>
    <w:rsid w:val="1D9B1EEA"/>
    <w:rsid w:val="1DED8DB4"/>
    <w:rsid w:val="1DF57697"/>
    <w:rsid w:val="1DF754C6"/>
    <w:rsid w:val="1EF32F29"/>
    <w:rsid w:val="1F9DE4D7"/>
    <w:rsid w:val="1FB5FAE2"/>
    <w:rsid w:val="1FDD9F6E"/>
    <w:rsid w:val="1FDDDE46"/>
    <w:rsid w:val="1FEF43B2"/>
    <w:rsid w:val="1FFB91A7"/>
    <w:rsid w:val="1FFE21B9"/>
    <w:rsid w:val="1FFEE2EA"/>
    <w:rsid w:val="1FFF2DA3"/>
    <w:rsid w:val="1FFF5D5B"/>
    <w:rsid w:val="1FFF6A2C"/>
    <w:rsid w:val="213D485F"/>
    <w:rsid w:val="21EF1F50"/>
    <w:rsid w:val="231FA252"/>
    <w:rsid w:val="23730A34"/>
    <w:rsid w:val="23FFDE6D"/>
    <w:rsid w:val="25AAED04"/>
    <w:rsid w:val="25FE7902"/>
    <w:rsid w:val="26FB3FC2"/>
    <w:rsid w:val="276F4721"/>
    <w:rsid w:val="279BB1B1"/>
    <w:rsid w:val="2ABB2F94"/>
    <w:rsid w:val="2AF0DEF5"/>
    <w:rsid w:val="2BDA68FA"/>
    <w:rsid w:val="2CFFDD5E"/>
    <w:rsid w:val="2D6B397B"/>
    <w:rsid w:val="2DF3BCC7"/>
    <w:rsid w:val="2EBB667E"/>
    <w:rsid w:val="2EF6BDBA"/>
    <w:rsid w:val="2EF92F82"/>
    <w:rsid w:val="2EFAC17A"/>
    <w:rsid w:val="2F7BBF2C"/>
    <w:rsid w:val="2F7E6882"/>
    <w:rsid w:val="2F83AE8C"/>
    <w:rsid w:val="2F860107"/>
    <w:rsid w:val="2F9C1339"/>
    <w:rsid w:val="2F9DAB7D"/>
    <w:rsid w:val="2FB7F945"/>
    <w:rsid w:val="2FC326A8"/>
    <w:rsid w:val="2FDC2748"/>
    <w:rsid w:val="2FE6498C"/>
    <w:rsid w:val="2FEB5293"/>
    <w:rsid w:val="2FEF9ADB"/>
    <w:rsid w:val="2FF5EC51"/>
    <w:rsid w:val="2FF6C44B"/>
    <w:rsid w:val="2FFC8194"/>
    <w:rsid w:val="2FFD0D8B"/>
    <w:rsid w:val="2FFEF1D3"/>
    <w:rsid w:val="2FFF5892"/>
    <w:rsid w:val="2FFFF841"/>
    <w:rsid w:val="30BE1C52"/>
    <w:rsid w:val="32FB0B03"/>
    <w:rsid w:val="333E5BD7"/>
    <w:rsid w:val="337B9D50"/>
    <w:rsid w:val="337F2AA8"/>
    <w:rsid w:val="33EF6F3E"/>
    <w:rsid w:val="35EF6629"/>
    <w:rsid w:val="36BF3801"/>
    <w:rsid w:val="36FE6474"/>
    <w:rsid w:val="36FF32A4"/>
    <w:rsid w:val="3754B4F5"/>
    <w:rsid w:val="377D77E5"/>
    <w:rsid w:val="386E9A67"/>
    <w:rsid w:val="397FBE67"/>
    <w:rsid w:val="399F8468"/>
    <w:rsid w:val="39EBCED2"/>
    <w:rsid w:val="3A4B7220"/>
    <w:rsid w:val="3A6C8B98"/>
    <w:rsid w:val="3B78859F"/>
    <w:rsid w:val="3B7F27F6"/>
    <w:rsid w:val="3B7F81DA"/>
    <w:rsid w:val="3BB89DB1"/>
    <w:rsid w:val="3BD70B05"/>
    <w:rsid w:val="3C6F3C96"/>
    <w:rsid w:val="3C8CE6C4"/>
    <w:rsid w:val="3CD3A96B"/>
    <w:rsid w:val="3CDD5003"/>
    <w:rsid w:val="3CF9B1A5"/>
    <w:rsid w:val="3D6A8402"/>
    <w:rsid w:val="3DBFD735"/>
    <w:rsid w:val="3DDFAA27"/>
    <w:rsid w:val="3DE49F75"/>
    <w:rsid w:val="3DFDE415"/>
    <w:rsid w:val="3E73A117"/>
    <w:rsid w:val="3EBB1CEA"/>
    <w:rsid w:val="3EBF4808"/>
    <w:rsid w:val="3ECB1A48"/>
    <w:rsid w:val="3ED7BEDB"/>
    <w:rsid w:val="3ED8463F"/>
    <w:rsid w:val="3EE721FD"/>
    <w:rsid w:val="3EEFCADA"/>
    <w:rsid w:val="3EF52226"/>
    <w:rsid w:val="3EF59C64"/>
    <w:rsid w:val="3EF7218A"/>
    <w:rsid w:val="3EF8CFCE"/>
    <w:rsid w:val="3EFDC493"/>
    <w:rsid w:val="3EFF1A7D"/>
    <w:rsid w:val="3F1FAA46"/>
    <w:rsid w:val="3F63418A"/>
    <w:rsid w:val="3F770DE4"/>
    <w:rsid w:val="3F7FCB1D"/>
    <w:rsid w:val="3F978C07"/>
    <w:rsid w:val="3FAF667E"/>
    <w:rsid w:val="3FB71B02"/>
    <w:rsid w:val="3FBD511A"/>
    <w:rsid w:val="3FCF0105"/>
    <w:rsid w:val="3FCFB11C"/>
    <w:rsid w:val="3FD331BC"/>
    <w:rsid w:val="3FDC5A9D"/>
    <w:rsid w:val="3FDF64B7"/>
    <w:rsid w:val="3FEBF6B2"/>
    <w:rsid w:val="3FED064F"/>
    <w:rsid w:val="3FEF249B"/>
    <w:rsid w:val="3FEFAC98"/>
    <w:rsid w:val="3FF38A85"/>
    <w:rsid w:val="3FF39957"/>
    <w:rsid w:val="3FF62CFB"/>
    <w:rsid w:val="3FF7657B"/>
    <w:rsid w:val="3FF90747"/>
    <w:rsid w:val="3FF96D15"/>
    <w:rsid w:val="3FFD6729"/>
    <w:rsid w:val="3FFD957C"/>
    <w:rsid w:val="3FFF16F7"/>
    <w:rsid w:val="41CFE7B6"/>
    <w:rsid w:val="42CFAE5D"/>
    <w:rsid w:val="433E38EA"/>
    <w:rsid w:val="46AF9EC5"/>
    <w:rsid w:val="47CA92B4"/>
    <w:rsid w:val="4A1A009E"/>
    <w:rsid w:val="4B17F38A"/>
    <w:rsid w:val="4B8EF615"/>
    <w:rsid w:val="4CF4416B"/>
    <w:rsid w:val="4D5FDB7A"/>
    <w:rsid w:val="4DDD497A"/>
    <w:rsid w:val="4DE76EB1"/>
    <w:rsid w:val="4E67D6D7"/>
    <w:rsid w:val="4E735B0F"/>
    <w:rsid w:val="4E7BC1C7"/>
    <w:rsid w:val="4E9C4410"/>
    <w:rsid w:val="4EDF52EA"/>
    <w:rsid w:val="4F3F5F9C"/>
    <w:rsid w:val="4F3FB52C"/>
    <w:rsid w:val="4F663814"/>
    <w:rsid w:val="4F6F77C1"/>
    <w:rsid w:val="4FBF15FA"/>
    <w:rsid w:val="4FBFBF53"/>
    <w:rsid w:val="4FCE0F6B"/>
    <w:rsid w:val="4FFF084E"/>
    <w:rsid w:val="4FFF9B6F"/>
    <w:rsid w:val="529D732F"/>
    <w:rsid w:val="53FF7FC6"/>
    <w:rsid w:val="559D7A15"/>
    <w:rsid w:val="55F7A47F"/>
    <w:rsid w:val="567B16C3"/>
    <w:rsid w:val="56F35C5C"/>
    <w:rsid w:val="575E7570"/>
    <w:rsid w:val="577FA9B9"/>
    <w:rsid w:val="57BABF3E"/>
    <w:rsid w:val="57BD33C5"/>
    <w:rsid w:val="57E77F95"/>
    <w:rsid w:val="57EFCAD3"/>
    <w:rsid w:val="57F49291"/>
    <w:rsid w:val="595FE310"/>
    <w:rsid w:val="5967CEA8"/>
    <w:rsid w:val="596D615F"/>
    <w:rsid w:val="59CAEDB3"/>
    <w:rsid w:val="59DF0284"/>
    <w:rsid w:val="59F4EC75"/>
    <w:rsid w:val="59F6553B"/>
    <w:rsid w:val="5A6E4CD8"/>
    <w:rsid w:val="5ADF6C1E"/>
    <w:rsid w:val="5AEFC0FC"/>
    <w:rsid w:val="5AFFB507"/>
    <w:rsid w:val="5B7BB6AB"/>
    <w:rsid w:val="5B7D9444"/>
    <w:rsid w:val="5BEDD643"/>
    <w:rsid w:val="5BEE1326"/>
    <w:rsid w:val="5BEF32F3"/>
    <w:rsid w:val="5BF2880C"/>
    <w:rsid w:val="5BF7D1A5"/>
    <w:rsid w:val="5BFE3F1A"/>
    <w:rsid w:val="5BFF0EB3"/>
    <w:rsid w:val="5D7750C3"/>
    <w:rsid w:val="5D7F69B2"/>
    <w:rsid w:val="5DAB6366"/>
    <w:rsid w:val="5DB3D18A"/>
    <w:rsid w:val="5DDDFF74"/>
    <w:rsid w:val="5DDE6CE9"/>
    <w:rsid w:val="5DEF4A90"/>
    <w:rsid w:val="5DF196A4"/>
    <w:rsid w:val="5DFECA34"/>
    <w:rsid w:val="5E533DA8"/>
    <w:rsid w:val="5E7F8B64"/>
    <w:rsid w:val="5EDB8AAD"/>
    <w:rsid w:val="5EFA3E0B"/>
    <w:rsid w:val="5EFCA265"/>
    <w:rsid w:val="5EFFE803"/>
    <w:rsid w:val="5F220741"/>
    <w:rsid w:val="5F7769BC"/>
    <w:rsid w:val="5F7BD11A"/>
    <w:rsid w:val="5F7C7EB4"/>
    <w:rsid w:val="5F7FCFB9"/>
    <w:rsid w:val="5F9FE992"/>
    <w:rsid w:val="5FBDECF9"/>
    <w:rsid w:val="5FBF57CA"/>
    <w:rsid w:val="5FC5E195"/>
    <w:rsid w:val="5FD7DFCB"/>
    <w:rsid w:val="5FDC05D7"/>
    <w:rsid w:val="5FE1407D"/>
    <w:rsid w:val="5FEB9232"/>
    <w:rsid w:val="5FEBDEFC"/>
    <w:rsid w:val="5FEEDA25"/>
    <w:rsid w:val="5FEFCC38"/>
    <w:rsid w:val="5FF733B9"/>
    <w:rsid w:val="5FF7686C"/>
    <w:rsid w:val="5FF78FC6"/>
    <w:rsid w:val="5FF8AF80"/>
    <w:rsid w:val="5FFAE179"/>
    <w:rsid w:val="5FFBEA3E"/>
    <w:rsid w:val="5FFBF34F"/>
    <w:rsid w:val="5FFC50E1"/>
    <w:rsid w:val="5FFD8354"/>
    <w:rsid w:val="5FFED4B9"/>
    <w:rsid w:val="5FFEE3B2"/>
    <w:rsid w:val="5FFEFE0D"/>
    <w:rsid w:val="5FFF3D7C"/>
    <w:rsid w:val="5FFF5E23"/>
    <w:rsid w:val="5FFF6AB5"/>
    <w:rsid w:val="5FFF6FCD"/>
    <w:rsid w:val="5FFF700A"/>
    <w:rsid w:val="5FFFAB09"/>
    <w:rsid w:val="5FFFC07F"/>
    <w:rsid w:val="627FC5F5"/>
    <w:rsid w:val="635E3A94"/>
    <w:rsid w:val="63AF5811"/>
    <w:rsid w:val="63BD8B23"/>
    <w:rsid w:val="63F73689"/>
    <w:rsid w:val="64A74A33"/>
    <w:rsid w:val="64CFE5E9"/>
    <w:rsid w:val="65792376"/>
    <w:rsid w:val="65E78073"/>
    <w:rsid w:val="65FF1AC0"/>
    <w:rsid w:val="663E68BD"/>
    <w:rsid w:val="66CF8B52"/>
    <w:rsid w:val="675F80FA"/>
    <w:rsid w:val="676FFADC"/>
    <w:rsid w:val="677ECE9B"/>
    <w:rsid w:val="679F009F"/>
    <w:rsid w:val="67BF3C88"/>
    <w:rsid w:val="67D9600A"/>
    <w:rsid w:val="67DF6128"/>
    <w:rsid w:val="67EE1084"/>
    <w:rsid w:val="67F52B02"/>
    <w:rsid w:val="67FEEB60"/>
    <w:rsid w:val="68BCF2A0"/>
    <w:rsid w:val="68F76AD0"/>
    <w:rsid w:val="697FEB24"/>
    <w:rsid w:val="69DBE829"/>
    <w:rsid w:val="69EB6E89"/>
    <w:rsid w:val="6A7357D6"/>
    <w:rsid w:val="6A7A56F6"/>
    <w:rsid w:val="6A7F5EE7"/>
    <w:rsid w:val="6AE3B6FC"/>
    <w:rsid w:val="6BDE0A6D"/>
    <w:rsid w:val="6BED1683"/>
    <w:rsid w:val="6BEF9BAE"/>
    <w:rsid w:val="6BF21D6B"/>
    <w:rsid w:val="6BF619CE"/>
    <w:rsid w:val="6BFF67CC"/>
    <w:rsid w:val="6C1DE71E"/>
    <w:rsid w:val="6C6EEC34"/>
    <w:rsid w:val="6C6EF525"/>
    <w:rsid w:val="6C7E7D55"/>
    <w:rsid w:val="6CBD060A"/>
    <w:rsid w:val="6CBE044E"/>
    <w:rsid w:val="6CD7103C"/>
    <w:rsid w:val="6CEBE6DE"/>
    <w:rsid w:val="6CFFAEE1"/>
    <w:rsid w:val="6D3F6E80"/>
    <w:rsid w:val="6DBFB761"/>
    <w:rsid w:val="6DCA1362"/>
    <w:rsid w:val="6DCA741F"/>
    <w:rsid w:val="6DDFF7DE"/>
    <w:rsid w:val="6DFD9012"/>
    <w:rsid w:val="6DFE8B1F"/>
    <w:rsid w:val="6DFF8EDA"/>
    <w:rsid w:val="6DFFBEA9"/>
    <w:rsid w:val="6E7BA518"/>
    <w:rsid w:val="6E7EFD86"/>
    <w:rsid w:val="6E7F69AF"/>
    <w:rsid w:val="6EA7B26B"/>
    <w:rsid w:val="6EAAB286"/>
    <w:rsid w:val="6ED6EEB6"/>
    <w:rsid w:val="6ED9DFCA"/>
    <w:rsid w:val="6EEEDD77"/>
    <w:rsid w:val="6EF52810"/>
    <w:rsid w:val="6EFADB56"/>
    <w:rsid w:val="6EFE88E0"/>
    <w:rsid w:val="6F37CB1F"/>
    <w:rsid w:val="6F5B23EA"/>
    <w:rsid w:val="6F93DDD5"/>
    <w:rsid w:val="6F9F7F46"/>
    <w:rsid w:val="6FBF30C1"/>
    <w:rsid w:val="6FBFBDBA"/>
    <w:rsid w:val="6FC8FF24"/>
    <w:rsid w:val="6FD32A1F"/>
    <w:rsid w:val="6FD40EA3"/>
    <w:rsid w:val="6FDB2236"/>
    <w:rsid w:val="6FEDB3D2"/>
    <w:rsid w:val="6FF6DDAA"/>
    <w:rsid w:val="6FF704C0"/>
    <w:rsid w:val="6FF7A3A7"/>
    <w:rsid w:val="6FF97022"/>
    <w:rsid w:val="6FFB2CB2"/>
    <w:rsid w:val="6FFB3E57"/>
    <w:rsid w:val="6FFBC59D"/>
    <w:rsid w:val="6FFBF709"/>
    <w:rsid w:val="6FFD215E"/>
    <w:rsid w:val="6FFF5222"/>
    <w:rsid w:val="6FFF5C17"/>
    <w:rsid w:val="6FFFF1C2"/>
    <w:rsid w:val="71FF6F81"/>
    <w:rsid w:val="7263FB3A"/>
    <w:rsid w:val="728D668C"/>
    <w:rsid w:val="729FACAF"/>
    <w:rsid w:val="72EE62F8"/>
    <w:rsid w:val="72F9EDC1"/>
    <w:rsid w:val="72FBC743"/>
    <w:rsid w:val="72FF8190"/>
    <w:rsid w:val="72FFB984"/>
    <w:rsid w:val="731FA6F9"/>
    <w:rsid w:val="733E5A4D"/>
    <w:rsid w:val="733FFDC1"/>
    <w:rsid w:val="736791AA"/>
    <w:rsid w:val="7377C5DB"/>
    <w:rsid w:val="737E94CE"/>
    <w:rsid w:val="73AF9087"/>
    <w:rsid w:val="73DC9A12"/>
    <w:rsid w:val="73EED1FC"/>
    <w:rsid w:val="73EF2E63"/>
    <w:rsid w:val="73FD61EB"/>
    <w:rsid w:val="73FDD948"/>
    <w:rsid w:val="73FF3651"/>
    <w:rsid w:val="73FF45CF"/>
    <w:rsid w:val="73FFC4D8"/>
    <w:rsid w:val="74EF536A"/>
    <w:rsid w:val="74F9B0D9"/>
    <w:rsid w:val="753303EF"/>
    <w:rsid w:val="75B7FE49"/>
    <w:rsid w:val="75BF017F"/>
    <w:rsid w:val="75F7C9F7"/>
    <w:rsid w:val="75F91AB0"/>
    <w:rsid w:val="75FB9707"/>
    <w:rsid w:val="75FFCC4C"/>
    <w:rsid w:val="75FFE3CD"/>
    <w:rsid w:val="765B22C5"/>
    <w:rsid w:val="767D0A40"/>
    <w:rsid w:val="76B76234"/>
    <w:rsid w:val="76BE7901"/>
    <w:rsid w:val="76E65260"/>
    <w:rsid w:val="76E757EC"/>
    <w:rsid w:val="76EBDE3C"/>
    <w:rsid w:val="76EDB266"/>
    <w:rsid w:val="76EFC2E9"/>
    <w:rsid w:val="76EFF62C"/>
    <w:rsid w:val="76FBB8B8"/>
    <w:rsid w:val="76FD6333"/>
    <w:rsid w:val="76FE52D8"/>
    <w:rsid w:val="76FF298F"/>
    <w:rsid w:val="76FF873B"/>
    <w:rsid w:val="76FFEE47"/>
    <w:rsid w:val="772AC15B"/>
    <w:rsid w:val="773386B5"/>
    <w:rsid w:val="777DB88C"/>
    <w:rsid w:val="777DCA4C"/>
    <w:rsid w:val="777DEE2F"/>
    <w:rsid w:val="777E36AB"/>
    <w:rsid w:val="77964C89"/>
    <w:rsid w:val="77978330"/>
    <w:rsid w:val="77AB0B77"/>
    <w:rsid w:val="77AE8AFE"/>
    <w:rsid w:val="77B7DD1B"/>
    <w:rsid w:val="77BD771C"/>
    <w:rsid w:val="77BF0D7F"/>
    <w:rsid w:val="77BF16F5"/>
    <w:rsid w:val="77CF4600"/>
    <w:rsid w:val="77CFA031"/>
    <w:rsid w:val="77D39214"/>
    <w:rsid w:val="77D7A121"/>
    <w:rsid w:val="77E8F7D6"/>
    <w:rsid w:val="77ED84EB"/>
    <w:rsid w:val="77EF6521"/>
    <w:rsid w:val="77EFC8DB"/>
    <w:rsid w:val="77EFDF09"/>
    <w:rsid w:val="77F9FA60"/>
    <w:rsid w:val="77FBB4AC"/>
    <w:rsid w:val="77FCE684"/>
    <w:rsid w:val="77FDBE35"/>
    <w:rsid w:val="77FEA4B7"/>
    <w:rsid w:val="77FF1709"/>
    <w:rsid w:val="77FF4C25"/>
    <w:rsid w:val="77FFB6E6"/>
    <w:rsid w:val="786E0CEB"/>
    <w:rsid w:val="78CBF36F"/>
    <w:rsid w:val="78F8AC13"/>
    <w:rsid w:val="78FAE5E0"/>
    <w:rsid w:val="78FF1C85"/>
    <w:rsid w:val="795F4781"/>
    <w:rsid w:val="796FE60C"/>
    <w:rsid w:val="797F9D8C"/>
    <w:rsid w:val="79B3F596"/>
    <w:rsid w:val="79BB49E8"/>
    <w:rsid w:val="79BF01A7"/>
    <w:rsid w:val="79D7B2A3"/>
    <w:rsid w:val="79EB02DA"/>
    <w:rsid w:val="79FB17BF"/>
    <w:rsid w:val="79FBF846"/>
    <w:rsid w:val="79FCDADE"/>
    <w:rsid w:val="7A6783BB"/>
    <w:rsid w:val="7ACBADBB"/>
    <w:rsid w:val="7ADB617D"/>
    <w:rsid w:val="7AF6275A"/>
    <w:rsid w:val="7B1F5FF6"/>
    <w:rsid w:val="7B3E5195"/>
    <w:rsid w:val="7B4F3559"/>
    <w:rsid w:val="7B5382F3"/>
    <w:rsid w:val="7B5F99D6"/>
    <w:rsid w:val="7B674DA3"/>
    <w:rsid w:val="7B7914B3"/>
    <w:rsid w:val="7B795C55"/>
    <w:rsid w:val="7B7B1F99"/>
    <w:rsid w:val="7B969AF0"/>
    <w:rsid w:val="7B9F2287"/>
    <w:rsid w:val="7BAE4BF8"/>
    <w:rsid w:val="7BB7BC01"/>
    <w:rsid w:val="7BBE2D89"/>
    <w:rsid w:val="7BBF1328"/>
    <w:rsid w:val="7BD7F355"/>
    <w:rsid w:val="7BF3301D"/>
    <w:rsid w:val="7BF6B200"/>
    <w:rsid w:val="7BF7CB33"/>
    <w:rsid w:val="7BFF5A17"/>
    <w:rsid w:val="7BFFF35F"/>
    <w:rsid w:val="7C6D40FA"/>
    <w:rsid w:val="7C7636BA"/>
    <w:rsid w:val="7C76FC8D"/>
    <w:rsid w:val="7CBB4E14"/>
    <w:rsid w:val="7CC3C11D"/>
    <w:rsid w:val="7CD6FB8F"/>
    <w:rsid w:val="7CFFECFB"/>
    <w:rsid w:val="7D5BD3F7"/>
    <w:rsid w:val="7D6D0C09"/>
    <w:rsid w:val="7D6F3BD4"/>
    <w:rsid w:val="7D7B195B"/>
    <w:rsid w:val="7D7F4BFF"/>
    <w:rsid w:val="7D7F8633"/>
    <w:rsid w:val="7D8DE7E0"/>
    <w:rsid w:val="7D977FA3"/>
    <w:rsid w:val="7D9F0B71"/>
    <w:rsid w:val="7DBAE14E"/>
    <w:rsid w:val="7DBD9014"/>
    <w:rsid w:val="7DBE9503"/>
    <w:rsid w:val="7DCFE2C2"/>
    <w:rsid w:val="7DD30B03"/>
    <w:rsid w:val="7DDFA9EB"/>
    <w:rsid w:val="7DDFE8BB"/>
    <w:rsid w:val="7DE7753F"/>
    <w:rsid w:val="7DE7FC44"/>
    <w:rsid w:val="7DEF9754"/>
    <w:rsid w:val="7DEF9D21"/>
    <w:rsid w:val="7DF3057F"/>
    <w:rsid w:val="7DF652EC"/>
    <w:rsid w:val="7DF65D43"/>
    <w:rsid w:val="7DF78C02"/>
    <w:rsid w:val="7DFBAB1E"/>
    <w:rsid w:val="7DFD76DD"/>
    <w:rsid w:val="7DFE1D11"/>
    <w:rsid w:val="7DFF4117"/>
    <w:rsid w:val="7DFFF8CD"/>
    <w:rsid w:val="7E560254"/>
    <w:rsid w:val="7E6F888E"/>
    <w:rsid w:val="7E6FC0DF"/>
    <w:rsid w:val="7E7D6F67"/>
    <w:rsid w:val="7E7E4AAF"/>
    <w:rsid w:val="7E7F103B"/>
    <w:rsid w:val="7E7F1A3E"/>
    <w:rsid w:val="7EA79325"/>
    <w:rsid w:val="7EAD416D"/>
    <w:rsid w:val="7EBA8335"/>
    <w:rsid w:val="7EBD5100"/>
    <w:rsid w:val="7EBE6E78"/>
    <w:rsid w:val="7EBE94EF"/>
    <w:rsid w:val="7EBFBC57"/>
    <w:rsid w:val="7ECF0638"/>
    <w:rsid w:val="7ED952DD"/>
    <w:rsid w:val="7EDA7DC0"/>
    <w:rsid w:val="7EDA9889"/>
    <w:rsid w:val="7EDB2B64"/>
    <w:rsid w:val="7EDF794B"/>
    <w:rsid w:val="7EE59A29"/>
    <w:rsid w:val="7EEFAC9E"/>
    <w:rsid w:val="7EF34D31"/>
    <w:rsid w:val="7EF6B45C"/>
    <w:rsid w:val="7EF75CDC"/>
    <w:rsid w:val="7EF86AC7"/>
    <w:rsid w:val="7EFD71F4"/>
    <w:rsid w:val="7EFFECB2"/>
    <w:rsid w:val="7F0E0518"/>
    <w:rsid w:val="7F1F1CE3"/>
    <w:rsid w:val="7F2FD12D"/>
    <w:rsid w:val="7F3D300F"/>
    <w:rsid w:val="7F3E0657"/>
    <w:rsid w:val="7F4BFC32"/>
    <w:rsid w:val="7F510DA2"/>
    <w:rsid w:val="7F5AA701"/>
    <w:rsid w:val="7F5D9463"/>
    <w:rsid w:val="7F5DA441"/>
    <w:rsid w:val="7F65E19A"/>
    <w:rsid w:val="7F6BCE0A"/>
    <w:rsid w:val="7F6D232E"/>
    <w:rsid w:val="7F6E49BD"/>
    <w:rsid w:val="7F6F234B"/>
    <w:rsid w:val="7F6F7BB9"/>
    <w:rsid w:val="7F767C9E"/>
    <w:rsid w:val="7F785052"/>
    <w:rsid w:val="7F7BF8B3"/>
    <w:rsid w:val="7F7D58A4"/>
    <w:rsid w:val="7F7F6FDB"/>
    <w:rsid w:val="7F8C7E28"/>
    <w:rsid w:val="7F8F1171"/>
    <w:rsid w:val="7F9105FF"/>
    <w:rsid w:val="7F9F65B4"/>
    <w:rsid w:val="7F9F6D8B"/>
    <w:rsid w:val="7FABAA56"/>
    <w:rsid w:val="7FB760ED"/>
    <w:rsid w:val="7FBB3FCD"/>
    <w:rsid w:val="7FBB8157"/>
    <w:rsid w:val="7FBE1C1B"/>
    <w:rsid w:val="7FBF0381"/>
    <w:rsid w:val="7FBF23D7"/>
    <w:rsid w:val="7FBF2EDD"/>
    <w:rsid w:val="7FBF461A"/>
    <w:rsid w:val="7FBF5C92"/>
    <w:rsid w:val="7FC7F3E0"/>
    <w:rsid w:val="7FCA06E6"/>
    <w:rsid w:val="7FCDA6AD"/>
    <w:rsid w:val="7FCE3A0E"/>
    <w:rsid w:val="7FD6FAC7"/>
    <w:rsid w:val="7FD738C4"/>
    <w:rsid w:val="7FDB536C"/>
    <w:rsid w:val="7FDC112B"/>
    <w:rsid w:val="7FDF3D09"/>
    <w:rsid w:val="7FDF403E"/>
    <w:rsid w:val="7FDF9080"/>
    <w:rsid w:val="7FDF97C6"/>
    <w:rsid w:val="7FDFA8FF"/>
    <w:rsid w:val="7FDFADE0"/>
    <w:rsid w:val="7FDFFB82"/>
    <w:rsid w:val="7FE217A2"/>
    <w:rsid w:val="7FE6C621"/>
    <w:rsid w:val="7FE6EF74"/>
    <w:rsid w:val="7FE91FD2"/>
    <w:rsid w:val="7FE99200"/>
    <w:rsid w:val="7FED4E7E"/>
    <w:rsid w:val="7FEEDCB4"/>
    <w:rsid w:val="7FEFEC3F"/>
    <w:rsid w:val="7FF11569"/>
    <w:rsid w:val="7FF3305E"/>
    <w:rsid w:val="7FF3A932"/>
    <w:rsid w:val="7FF7699B"/>
    <w:rsid w:val="7FF7A3D9"/>
    <w:rsid w:val="7FF8D55C"/>
    <w:rsid w:val="7FF934FB"/>
    <w:rsid w:val="7FF9F0EA"/>
    <w:rsid w:val="7FFA515D"/>
    <w:rsid w:val="7FFB5091"/>
    <w:rsid w:val="7FFB64FB"/>
    <w:rsid w:val="7FFC7D3F"/>
    <w:rsid w:val="7FFD1C5E"/>
    <w:rsid w:val="7FFD911B"/>
    <w:rsid w:val="7FFE6006"/>
    <w:rsid w:val="7FFF0B47"/>
    <w:rsid w:val="7FFF20EC"/>
    <w:rsid w:val="7FFF3BBF"/>
    <w:rsid w:val="7FFF56DC"/>
    <w:rsid w:val="7FFF5A18"/>
    <w:rsid w:val="7FFF6D38"/>
    <w:rsid w:val="7FFFB721"/>
    <w:rsid w:val="7FFFCBBB"/>
    <w:rsid w:val="83FF744E"/>
    <w:rsid w:val="85DF137D"/>
    <w:rsid w:val="87BFA141"/>
    <w:rsid w:val="87DD9C61"/>
    <w:rsid w:val="89FF2E29"/>
    <w:rsid w:val="8BFECB22"/>
    <w:rsid w:val="8F3E3136"/>
    <w:rsid w:val="8FDB3061"/>
    <w:rsid w:val="8FF9DE91"/>
    <w:rsid w:val="90FB1E9E"/>
    <w:rsid w:val="92EE9597"/>
    <w:rsid w:val="93DE0709"/>
    <w:rsid w:val="957759D2"/>
    <w:rsid w:val="95D66AE7"/>
    <w:rsid w:val="977B7DC5"/>
    <w:rsid w:val="97F9616D"/>
    <w:rsid w:val="97FF092E"/>
    <w:rsid w:val="99F7A796"/>
    <w:rsid w:val="9AF854FF"/>
    <w:rsid w:val="9B5D771C"/>
    <w:rsid w:val="9B766A0E"/>
    <w:rsid w:val="9BA7BEA7"/>
    <w:rsid w:val="9BFF3CED"/>
    <w:rsid w:val="9D5B7441"/>
    <w:rsid w:val="9EFE16B1"/>
    <w:rsid w:val="9EFF7B23"/>
    <w:rsid w:val="9EFFCCBA"/>
    <w:rsid w:val="9F73AF57"/>
    <w:rsid w:val="9F7DF7E9"/>
    <w:rsid w:val="9F9FCB9F"/>
    <w:rsid w:val="9FABDC4E"/>
    <w:rsid w:val="9FB4749F"/>
    <w:rsid w:val="9FD315EE"/>
    <w:rsid w:val="9FE6D7EA"/>
    <w:rsid w:val="9FEFC44C"/>
    <w:rsid w:val="9FFD1431"/>
    <w:rsid w:val="9FFDBBBA"/>
    <w:rsid w:val="A25DDB27"/>
    <w:rsid w:val="A5F72DA8"/>
    <w:rsid w:val="A5FE2E1F"/>
    <w:rsid w:val="A79E19F4"/>
    <w:rsid w:val="A96770E7"/>
    <w:rsid w:val="A97E45FA"/>
    <w:rsid w:val="A9EA5FF1"/>
    <w:rsid w:val="AA8D594C"/>
    <w:rsid w:val="AAF3AF13"/>
    <w:rsid w:val="AB576087"/>
    <w:rsid w:val="ABBCF189"/>
    <w:rsid w:val="ABBFB4AE"/>
    <w:rsid w:val="ABF93B40"/>
    <w:rsid w:val="ABFBE6BC"/>
    <w:rsid w:val="ABFFC602"/>
    <w:rsid w:val="ACD34E7E"/>
    <w:rsid w:val="ACD9A8D1"/>
    <w:rsid w:val="ADAF8071"/>
    <w:rsid w:val="ADBEC125"/>
    <w:rsid w:val="ADEE31A8"/>
    <w:rsid w:val="AEF6BA17"/>
    <w:rsid w:val="AEF7FC71"/>
    <w:rsid w:val="AF5E8FD5"/>
    <w:rsid w:val="AF7BE6C3"/>
    <w:rsid w:val="AF7FB444"/>
    <w:rsid w:val="AF9769DE"/>
    <w:rsid w:val="AF9B92B8"/>
    <w:rsid w:val="AFBF79F4"/>
    <w:rsid w:val="AFD3B4CF"/>
    <w:rsid w:val="AFD98966"/>
    <w:rsid w:val="AFF9A1E8"/>
    <w:rsid w:val="AFFE911D"/>
    <w:rsid w:val="AFFFA19F"/>
    <w:rsid w:val="AFFFA304"/>
    <w:rsid w:val="AFFFD081"/>
    <w:rsid w:val="B37F5BB0"/>
    <w:rsid w:val="B3B38293"/>
    <w:rsid w:val="B3BF2AD5"/>
    <w:rsid w:val="B3CD1930"/>
    <w:rsid w:val="B3FEE2BF"/>
    <w:rsid w:val="B4DDDF33"/>
    <w:rsid w:val="B5DF0D40"/>
    <w:rsid w:val="B5EFD5C6"/>
    <w:rsid w:val="B6CD639D"/>
    <w:rsid w:val="B6DF6D9A"/>
    <w:rsid w:val="B6EB466C"/>
    <w:rsid w:val="B77F52A4"/>
    <w:rsid w:val="B7BB6076"/>
    <w:rsid w:val="B7CC027B"/>
    <w:rsid w:val="B7E31292"/>
    <w:rsid w:val="B7FEF472"/>
    <w:rsid w:val="B96E798F"/>
    <w:rsid w:val="B9E0DEF8"/>
    <w:rsid w:val="B9F6B6C6"/>
    <w:rsid w:val="B9FF4B65"/>
    <w:rsid w:val="BA77C6A4"/>
    <w:rsid w:val="BA7F8CF0"/>
    <w:rsid w:val="BAD6BB40"/>
    <w:rsid w:val="BADD6420"/>
    <w:rsid w:val="BADEC201"/>
    <w:rsid w:val="BB35FC55"/>
    <w:rsid w:val="BB6F6F0F"/>
    <w:rsid w:val="BB735CAB"/>
    <w:rsid w:val="BBB68DF0"/>
    <w:rsid w:val="BBB777B4"/>
    <w:rsid w:val="BBDF7322"/>
    <w:rsid w:val="BBF79647"/>
    <w:rsid w:val="BBFD3330"/>
    <w:rsid w:val="BBFFA3C5"/>
    <w:rsid w:val="BBFFC4B7"/>
    <w:rsid w:val="BBFFE290"/>
    <w:rsid w:val="BCEE8761"/>
    <w:rsid w:val="BD2CEBA0"/>
    <w:rsid w:val="BD7E6C81"/>
    <w:rsid w:val="BDAFC42D"/>
    <w:rsid w:val="BDBFAEA8"/>
    <w:rsid w:val="BDD79671"/>
    <w:rsid w:val="BDDC1D2C"/>
    <w:rsid w:val="BDDF1FDD"/>
    <w:rsid w:val="BDDFD7C3"/>
    <w:rsid w:val="BDEE459A"/>
    <w:rsid w:val="BDFB15F6"/>
    <w:rsid w:val="BE6E1DEC"/>
    <w:rsid w:val="BE7BA0A9"/>
    <w:rsid w:val="BE8DDA59"/>
    <w:rsid w:val="BEAE3B39"/>
    <w:rsid w:val="BED5EF7A"/>
    <w:rsid w:val="BEF7D42D"/>
    <w:rsid w:val="BEFFAC2F"/>
    <w:rsid w:val="BF3D293C"/>
    <w:rsid w:val="BF3D6447"/>
    <w:rsid w:val="BF3E543A"/>
    <w:rsid w:val="BF3F1983"/>
    <w:rsid w:val="BF5EB161"/>
    <w:rsid w:val="BF5F6926"/>
    <w:rsid w:val="BF6A382E"/>
    <w:rsid w:val="BF76C4A5"/>
    <w:rsid w:val="BF7A6E27"/>
    <w:rsid w:val="BF7E64A9"/>
    <w:rsid w:val="BF7E7A7F"/>
    <w:rsid w:val="BFACAB4A"/>
    <w:rsid w:val="BFBF2B3B"/>
    <w:rsid w:val="BFCFB937"/>
    <w:rsid w:val="BFD65BA9"/>
    <w:rsid w:val="BFDBB6E6"/>
    <w:rsid w:val="BFDCE7AB"/>
    <w:rsid w:val="BFDDDEDA"/>
    <w:rsid w:val="BFDE3962"/>
    <w:rsid w:val="BFDF86B8"/>
    <w:rsid w:val="BFEE4A04"/>
    <w:rsid w:val="BFFD649C"/>
    <w:rsid w:val="BFFDE99E"/>
    <w:rsid w:val="BFFE6B2A"/>
    <w:rsid w:val="BFFE70B9"/>
    <w:rsid w:val="BFFF337F"/>
    <w:rsid w:val="BFFF4A64"/>
    <w:rsid w:val="BFFF647F"/>
    <w:rsid w:val="BFFFAA63"/>
    <w:rsid w:val="C4FA1BB4"/>
    <w:rsid w:val="C5FE3F19"/>
    <w:rsid w:val="C67E5EB0"/>
    <w:rsid w:val="C77AD5FF"/>
    <w:rsid w:val="C7BF3F23"/>
    <w:rsid w:val="C7FF207E"/>
    <w:rsid w:val="C8BF4EFC"/>
    <w:rsid w:val="C9BF9828"/>
    <w:rsid w:val="C9DA71A8"/>
    <w:rsid w:val="C9EF0377"/>
    <w:rsid w:val="CA47B622"/>
    <w:rsid w:val="CACF4215"/>
    <w:rsid w:val="CB37F951"/>
    <w:rsid w:val="CBD6EAA3"/>
    <w:rsid w:val="CBEFF5CA"/>
    <w:rsid w:val="CCBED864"/>
    <w:rsid w:val="CD7F4BA1"/>
    <w:rsid w:val="CDB21F3A"/>
    <w:rsid w:val="CE1E0A04"/>
    <w:rsid w:val="CE7FABE5"/>
    <w:rsid w:val="CEB5CE09"/>
    <w:rsid w:val="CEBB7252"/>
    <w:rsid w:val="CF536527"/>
    <w:rsid w:val="CFBF9D34"/>
    <w:rsid w:val="CFDF503F"/>
    <w:rsid w:val="CFF3B583"/>
    <w:rsid w:val="CFF6C857"/>
    <w:rsid w:val="CFFFBBDA"/>
    <w:rsid w:val="D0C91C72"/>
    <w:rsid w:val="D0F753B0"/>
    <w:rsid w:val="D2FB64C8"/>
    <w:rsid w:val="D3DEB516"/>
    <w:rsid w:val="D3F528E7"/>
    <w:rsid w:val="D4D7CB49"/>
    <w:rsid w:val="D55FA2A8"/>
    <w:rsid w:val="D57EB5EA"/>
    <w:rsid w:val="D5DB7AF7"/>
    <w:rsid w:val="D5FFE836"/>
    <w:rsid w:val="D64EE742"/>
    <w:rsid w:val="D6FDCBC7"/>
    <w:rsid w:val="D755A764"/>
    <w:rsid w:val="D77D3DA4"/>
    <w:rsid w:val="D77FDD7B"/>
    <w:rsid w:val="D79970E9"/>
    <w:rsid w:val="D7A7399D"/>
    <w:rsid w:val="D7D316E9"/>
    <w:rsid w:val="D7DFD32C"/>
    <w:rsid w:val="D7EB8920"/>
    <w:rsid w:val="D9BF241D"/>
    <w:rsid w:val="D9DFD52C"/>
    <w:rsid w:val="D9FFE615"/>
    <w:rsid w:val="DA6402D1"/>
    <w:rsid w:val="DAFE3397"/>
    <w:rsid w:val="DAFF6063"/>
    <w:rsid w:val="DB5BC3D8"/>
    <w:rsid w:val="DBA681B5"/>
    <w:rsid w:val="DBBEA223"/>
    <w:rsid w:val="DBBFFCDC"/>
    <w:rsid w:val="DBD70811"/>
    <w:rsid w:val="DBDFF390"/>
    <w:rsid w:val="DBEE4B7F"/>
    <w:rsid w:val="DBEFD0A7"/>
    <w:rsid w:val="DBF3CAD2"/>
    <w:rsid w:val="DBF7E092"/>
    <w:rsid w:val="DBFF56BE"/>
    <w:rsid w:val="DBFFCE09"/>
    <w:rsid w:val="DBFFFE63"/>
    <w:rsid w:val="DCD7B8C5"/>
    <w:rsid w:val="DCDEDEC5"/>
    <w:rsid w:val="DCDF8A2A"/>
    <w:rsid w:val="DCEDB254"/>
    <w:rsid w:val="DCFA347C"/>
    <w:rsid w:val="DCFABE34"/>
    <w:rsid w:val="DD6F060A"/>
    <w:rsid w:val="DD7E6453"/>
    <w:rsid w:val="DD7E65A7"/>
    <w:rsid w:val="DDBFBB5D"/>
    <w:rsid w:val="DDBFE819"/>
    <w:rsid w:val="DDE2AEBC"/>
    <w:rsid w:val="DDF78E02"/>
    <w:rsid w:val="DDFBA933"/>
    <w:rsid w:val="DDFEA5AE"/>
    <w:rsid w:val="DE3BD727"/>
    <w:rsid w:val="DE7FD263"/>
    <w:rsid w:val="DEFCF817"/>
    <w:rsid w:val="DF3ADC6F"/>
    <w:rsid w:val="DF5DF907"/>
    <w:rsid w:val="DF677B38"/>
    <w:rsid w:val="DF6F2750"/>
    <w:rsid w:val="DF7F1CA2"/>
    <w:rsid w:val="DF9FFB54"/>
    <w:rsid w:val="DFAB28B3"/>
    <w:rsid w:val="DFBFE501"/>
    <w:rsid w:val="DFC92530"/>
    <w:rsid w:val="DFCE6804"/>
    <w:rsid w:val="DFD9A54D"/>
    <w:rsid w:val="DFDF1A67"/>
    <w:rsid w:val="DFDF7095"/>
    <w:rsid w:val="DFEF1089"/>
    <w:rsid w:val="DFF7A597"/>
    <w:rsid w:val="DFF7E0A3"/>
    <w:rsid w:val="DFFB8B2E"/>
    <w:rsid w:val="DFFF7079"/>
    <w:rsid w:val="DFFFAD97"/>
    <w:rsid w:val="DFFFE484"/>
    <w:rsid w:val="E16D863A"/>
    <w:rsid w:val="E1EFE775"/>
    <w:rsid w:val="E217DF88"/>
    <w:rsid w:val="E3BEDBCD"/>
    <w:rsid w:val="E3FFB5D8"/>
    <w:rsid w:val="E57F10F4"/>
    <w:rsid w:val="E73B3835"/>
    <w:rsid w:val="E76360E7"/>
    <w:rsid w:val="E76CC8C0"/>
    <w:rsid w:val="E76DE4E7"/>
    <w:rsid w:val="E77988BE"/>
    <w:rsid w:val="E77EAC9F"/>
    <w:rsid w:val="E77F2CC4"/>
    <w:rsid w:val="E77F74E6"/>
    <w:rsid w:val="E787D374"/>
    <w:rsid w:val="E7972754"/>
    <w:rsid w:val="E7DE3616"/>
    <w:rsid w:val="E7E18A6D"/>
    <w:rsid w:val="E7E6B498"/>
    <w:rsid w:val="E7EE0F91"/>
    <w:rsid w:val="E7EE48AF"/>
    <w:rsid w:val="E7FEE88F"/>
    <w:rsid w:val="E97DD563"/>
    <w:rsid w:val="E9B77C5E"/>
    <w:rsid w:val="E9D8E73D"/>
    <w:rsid w:val="E9F33A77"/>
    <w:rsid w:val="EADD8810"/>
    <w:rsid w:val="EAFF029E"/>
    <w:rsid w:val="EAFF9393"/>
    <w:rsid w:val="EBB6AF11"/>
    <w:rsid w:val="EBBF687C"/>
    <w:rsid w:val="EBCF7666"/>
    <w:rsid w:val="EBDE8584"/>
    <w:rsid w:val="EBEA6EF0"/>
    <w:rsid w:val="EBFF2F15"/>
    <w:rsid w:val="EBFFC830"/>
    <w:rsid w:val="EC2D5C67"/>
    <w:rsid w:val="EC770230"/>
    <w:rsid w:val="ECDF2E0D"/>
    <w:rsid w:val="ED3E993B"/>
    <w:rsid w:val="ED55A8A9"/>
    <w:rsid w:val="ED7F97FA"/>
    <w:rsid w:val="EDBD0450"/>
    <w:rsid w:val="EDEA0D6E"/>
    <w:rsid w:val="EDFA38BD"/>
    <w:rsid w:val="EDFB43E6"/>
    <w:rsid w:val="EDFBD628"/>
    <w:rsid w:val="EDFF8B31"/>
    <w:rsid w:val="EDFFB568"/>
    <w:rsid w:val="EDFFD391"/>
    <w:rsid w:val="EE5F6A5F"/>
    <w:rsid w:val="EE779140"/>
    <w:rsid w:val="EE7DD830"/>
    <w:rsid w:val="EE9F7769"/>
    <w:rsid w:val="EED97289"/>
    <w:rsid w:val="EEECCF32"/>
    <w:rsid w:val="EEFB87EB"/>
    <w:rsid w:val="EEFD968E"/>
    <w:rsid w:val="EEFF4D58"/>
    <w:rsid w:val="EEFFEE18"/>
    <w:rsid w:val="EF05C1F4"/>
    <w:rsid w:val="EF1F424A"/>
    <w:rsid w:val="EF2B338B"/>
    <w:rsid w:val="EF392FD1"/>
    <w:rsid w:val="EF5F3978"/>
    <w:rsid w:val="EF67209E"/>
    <w:rsid w:val="EF758F48"/>
    <w:rsid w:val="EF77CD12"/>
    <w:rsid w:val="EF7EBECB"/>
    <w:rsid w:val="EF7F071F"/>
    <w:rsid w:val="EF7FCCC3"/>
    <w:rsid w:val="EF952ED0"/>
    <w:rsid w:val="EF9F7713"/>
    <w:rsid w:val="EFA59385"/>
    <w:rsid w:val="EFB51CC4"/>
    <w:rsid w:val="EFB71D41"/>
    <w:rsid w:val="EFBE2FA9"/>
    <w:rsid w:val="EFBE397E"/>
    <w:rsid w:val="EFBEF404"/>
    <w:rsid w:val="EFBFF31E"/>
    <w:rsid w:val="EFC788C7"/>
    <w:rsid w:val="EFD28DA9"/>
    <w:rsid w:val="EFD3881C"/>
    <w:rsid w:val="EFD86358"/>
    <w:rsid w:val="EFE58A7F"/>
    <w:rsid w:val="EFE77227"/>
    <w:rsid w:val="EFEA01A0"/>
    <w:rsid w:val="EFEF1337"/>
    <w:rsid w:val="EFEF74C8"/>
    <w:rsid w:val="EFEF9A1D"/>
    <w:rsid w:val="EFF79669"/>
    <w:rsid w:val="EFFB89E8"/>
    <w:rsid w:val="EFFBA68C"/>
    <w:rsid w:val="EFFBB7AB"/>
    <w:rsid w:val="EFFD9F71"/>
    <w:rsid w:val="EFFE8613"/>
    <w:rsid w:val="EFFE8D18"/>
    <w:rsid w:val="EFFF34CE"/>
    <w:rsid w:val="EFFFD4DB"/>
    <w:rsid w:val="EFFFEF77"/>
    <w:rsid w:val="F1DF09FF"/>
    <w:rsid w:val="F25E898A"/>
    <w:rsid w:val="F2E71FD6"/>
    <w:rsid w:val="F2FA9DFC"/>
    <w:rsid w:val="F327297E"/>
    <w:rsid w:val="F36E60D3"/>
    <w:rsid w:val="F37CBBEF"/>
    <w:rsid w:val="F3D7CE28"/>
    <w:rsid w:val="F3F7C2BA"/>
    <w:rsid w:val="F3FD5B21"/>
    <w:rsid w:val="F43772FA"/>
    <w:rsid w:val="F4EB9556"/>
    <w:rsid w:val="F4FAEE12"/>
    <w:rsid w:val="F57BC75C"/>
    <w:rsid w:val="F5BF77FE"/>
    <w:rsid w:val="F5D7D425"/>
    <w:rsid w:val="F5DE3914"/>
    <w:rsid w:val="F5DF1C19"/>
    <w:rsid w:val="F5E58CB8"/>
    <w:rsid w:val="F5E786B5"/>
    <w:rsid w:val="F5EBFD72"/>
    <w:rsid w:val="F5F73F23"/>
    <w:rsid w:val="F5FAA955"/>
    <w:rsid w:val="F5FAC6D9"/>
    <w:rsid w:val="F5FEED3C"/>
    <w:rsid w:val="F69D164B"/>
    <w:rsid w:val="F6DF0713"/>
    <w:rsid w:val="F6DF6891"/>
    <w:rsid w:val="F6F57EFF"/>
    <w:rsid w:val="F6FBAED4"/>
    <w:rsid w:val="F6FF6C32"/>
    <w:rsid w:val="F74C2FB6"/>
    <w:rsid w:val="F777CECB"/>
    <w:rsid w:val="F77B7F54"/>
    <w:rsid w:val="F77EEFB5"/>
    <w:rsid w:val="F77F5228"/>
    <w:rsid w:val="F797677F"/>
    <w:rsid w:val="F79F9925"/>
    <w:rsid w:val="F7A38301"/>
    <w:rsid w:val="F7B0CD83"/>
    <w:rsid w:val="F7BF17B7"/>
    <w:rsid w:val="F7BFA968"/>
    <w:rsid w:val="F7BFEE2D"/>
    <w:rsid w:val="F7C77082"/>
    <w:rsid w:val="F7CF74BD"/>
    <w:rsid w:val="F7D32A30"/>
    <w:rsid w:val="F7DBC896"/>
    <w:rsid w:val="F7DE0174"/>
    <w:rsid w:val="F7DF6EDE"/>
    <w:rsid w:val="F7EBED83"/>
    <w:rsid w:val="F7EDE8CC"/>
    <w:rsid w:val="F7EEB8BB"/>
    <w:rsid w:val="F7EFC104"/>
    <w:rsid w:val="F7F6D616"/>
    <w:rsid w:val="F7F80540"/>
    <w:rsid w:val="F7FD24C6"/>
    <w:rsid w:val="F7FD3AC9"/>
    <w:rsid w:val="F7FDFA26"/>
    <w:rsid w:val="F7FF4B17"/>
    <w:rsid w:val="F837D173"/>
    <w:rsid w:val="F8DF201B"/>
    <w:rsid w:val="F8F73A79"/>
    <w:rsid w:val="F9CB9EA4"/>
    <w:rsid w:val="F9D864B3"/>
    <w:rsid w:val="F9EB2746"/>
    <w:rsid w:val="F9F6C5F3"/>
    <w:rsid w:val="F9FA63CB"/>
    <w:rsid w:val="FA2F7C1A"/>
    <w:rsid w:val="FA3B3A8B"/>
    <w:rsid w:val="FA6BB555"/>
    <w:rsid w:val="FA74C0FD"/>
    <w:rsid w:val="FAC6EC35"/>
    <w:rsid w:val="FAE39344"/>
    <w:rsid w:val="FAE60D67"/>
    <w:rsid w:val="FAFBA9B0"/>
    <w:rsid w:val="FAFF8B73"/>
    <w:rsid w:val="FAFF90A1"/>
    <w:rsid w:val="FB269780"/>
    <w:rsid w:val="FB3D808D"/>
    <w:rsid w:val="FB4BBAA3"/>
    <w:rsid w:val="FB575E3E"/>
    <w:rsid w:val="FB6B46DF"/>
    <w:rsid w:val="FB6E42EB"/>
    <w:rsid w:val="FB6FCC35"/>
    <w:rsid w:val="FB74FEA2"/>
    <w:rsid w:val="FB7B3B31"/>
    <w:rsid w:val="FB7D04CF"/>
    <w:rsid w:val="FB7DE094"/>
    <w:rsid w:val="FB7E1B5D"/>
    <w:rsid w:val="FB7F294A"/>
    <w:rsid w:val="FB9F5F96"/>
    <w:rsid w:val="FBAD81FA"/>
    <w:rsid w:val="FBB7FA00"/>
    <w:rsid w:val="FBBE9F4C"/>
    <w:rsid w:val="FBBF20AC"/>
    <w:rsid w:val="FBBFEA0C"/>
    <w:rsid w:val="FBBFF328"/>
    <w:rsid w:val="FBD70EBF"/>
    <w:rsid w:val="FBDB52A0"/>
    <w:rsid w:val="FBDD2B75"/>
    <w:rsid w:val="FBDFDAA9"/>
    <w:rsid w:val="FBEF18DF"/>
    <w:rsid w:val="FBEFFD02"/>
    <w:rsid w:val="FBF70D70"/>
    <w:rsid w:val="FBF7102E"/>
    <w:rsid w:val="FBF7C3E9"/>
    <w:rsid w:val="FBF92F27"/>
    <w:rsid w:val="FBFA789B"/>
    <w:rsid w:val="FBFD23A9"/>
    <w:rsid w:val="FBFE70B2"/>
    <w:rsid w:val="FBFFC3A1"/>
    <w:rsid w:val="FC1F7871"/>
    <w:rsid w:val="FCB6BF8B"/>
    <w:rsid w:val="FCDA1C5C"/>
    <w:rsid w:val="FCE07120"/>
    <w:rsid w:val="FCE207DC"/>
    <w:rsid w:val="FCED747B"/>
    <w:rsid w:val="FCF23102"/>
    <w:rsid w:val="FCF52A04"/>
    <w:rsid w:val="FCF7AE7C"/>
    <w:rsid w:val="FCFC105F"/>
    <w:rsid w:val="FCFE00DB"/>
    <w:rsid w:val="FD6B277C"/>
    <w:rsid w:val="FD717B57"/>
    <w:rsid w:val="FD73E704"/>
    <w:rsid w:val="FD75B5CA"/>
    <w:rsid w:val="FD7D5905"/>
    <w:rsid w:val="FDB7BFD1"/>
    <w:rsid w:val="FDBF2ED6"/>
    <w:rsid w:val="FDBFC37A"/>
    <w:rsid w:val="FDD70D93"/>
    <w:rsid w:val="FDD902BA"/>
    <w:rsid w:val="FDDB1FEA"/>
    <w:rsid w:val="FDDD235B"/>
    <w:rsid w:val="FDDE6ADE"/>
    <w:rsid w:val="FDED0EF4"/>
    <w:rsid w:val="FDEE39E0"/>
    <w:rsid w:val="FDEF0014"/>
    <w:rsid w:val="FDF6B004"/>
    <w:rsid w:val="FDF78B87"/>
    <w:rsid w:val="FDFD16E3"/>
    <w:rsid w:val="FDFDCF3C"/>
    <w:rsid w:val="FDFDDCF7"/>
    <w:rsid w:val="FDFF1143"/>
    <w:rsid w:val="FDFF16DD"/>
    <w:rsid w:val="FDFF515A"/>
    <w:rsid w:val="FE3B38E8"/>
    <w:rsid w:val="FE4B9113"/>
    <w:rsid w:val="FE4D3193"/>
    <w:rsid w:val="FE7B5273"/>
    <w:rsid w:val="FE7C2BCB"/>
    <w:rsid w:val="FE7F3C2E"/>
    <w:rsid w:val="FE7F517F"/>
    <w:rsid w:val="FE7F9B2B"/>
    <w:rsid w:val="FE7FA049"/>
    <w:rsid w:val="FE9997C2"/>
    <w:rsid w:val="FE9C1484"/>
    <w:rsid w:val="FEADCD70"/>
    <w:rsid w:val="FEBF2466"/>
    <w:rsid w:val="FEBF4BA1"/>
    <w:rsid w:val="FEBFBAB6"/>
    <w:rsid w:val="FECB6F48"/>
    <w:rsid w:val="FECDA754"/>
    <w:rsid w:val="FEE6974A"/>
    <w:rsid w:val="FEE7AF24"/>
    <w:rsid w:val="FEEF8887"/>
    <w:rsid w:val="FEF9F711"/>
    <w:rsid w:val="FEFD71D2"/>
    <w:rsid w:val="FEFF339F"/>
    <w:rsid w:val="FEFF4F70"/>
    <w:rsid w:val="FEFF5A66"/>
    <w:rsid w:val="FEFFC1F8"/>
    <w:rsid w:val="FF1E6DC7"/>
    <w:rsid w:val="FF1FC4EB"/>
    <w:rsid w:val="FF374947"/>
    <w:rsid w:val="FF378FA5"/>
    <w:rsid w:val="FF3B15A8"/>
    <w:rsid w:val="FF3D5113"/>
    <w:rsid w:val="FF3D6409"/>
    <w:rsid w:val="FF3E2213"/>
    <w:rsid w:val="FF3F961E"/>
    <w:rsid w:val="FF49762F"/>
    <w:rsid w:val="FF4AC5A2"/>
    <w:rsid w:val="FF4F510C"/>
    <w:rsid w:val="FF5EDD97"/>
    <w:rsid w:val="FF5F1C02"/>
    <w:rsid w:val="FF5FA98C"/>
    <w:rsid w:val="FF5FC782"/>
    <w:rsid w:val="FF63E91C"/>
    <w:rsid w:val="FF67537C"/>
    <w:rsid w:val="FF6A6F79"/>
    <w:rsid w:val="FF6E82F8"/>
    <w:rsid w:val="FF753FD4"/>
    <w:rsid w:val="FF776D43"/>
    <w:rsid w:val="FF7B0976"/>
    <w:rsid w:val="FF7D18E6"/>
    <w:rsid w:val="FF7DE317"/>
    <w:rsid w:val="FF7E51E2"/>
    <w:rsid w:val="FF7EE5A6"/>
    <w:rsid w:val="FF7F0A50"/>
    <w:rsid w:val="FF7F2640"/>
    <w:rsid w:val="FF7F2D80"/>
    <w:rsid w:val="FF7F61E4"/>
    <w:rsid w:val="FF7F6533"/>
    <w:rsid w:val="FF831499"/>
    <w:rsid w:val="FF8DB4BE"/>
    <w:rsid w:val="FF8F6093"/>
    <w:rsid w:val="FFA3C2C4"/>
    <w:rsid w:val="FFAF71A9"/>
    <w:rsid w:val="FFB398C8"/>
    <w:rsid w:val="FFB4E5F8"/>
    <w:rsid w:val="FFB6CE89"/>
    <w:rsid w:val="FFB73865"/>
    <w:rsid w:val="FFBB823F"/>
    <w:rsid w:val="FFBB83F1"/>
    <w:rsid w:val="FFBE0827"/>
    <w:rsid w:val="FFBE68F8"/>
    <w:rsid w:val="FFBFA746"/>
    <w:rsid w:val="FFC69685"/>
    <w:rsid w:val="FFD28F17"/>
    <w:rsid w:val="FFD37A98"/>
    <w:rsid w:val="FFD3D302"/>
    <w:rsid w:val="FFDE13B5"/>
    <w:rsid w:val="FFDE4789"/>
    <w:rsid w:val="FFDE714C"/>
    <w:rsid w:val="FFDF0A71"/>
    <w:rsid w:val="FFDF2DFB"/>
    <w:rsid w:val="FFDFCAED"/>
    <w:rsid w:val="FFE122CB"/>
    <w:rsid w:val="FFE58B62"/>
    <w:rsid w:val="FFE774AC"/>
    <w:rsid w:val="FFEA7B33"/>
    <w:rsid w:val="FFEB6CD6"/>
    <w:rsid w:val="FFEB8356"/>
    <w:rsid w:val="FFEC5613"/>
    <w:rsid w:val="FFEC909C"/>
    <w:rsid w:val="FFECC4B1"/>
    <w:rsid w:val="FFEE09F2"/>
    <w:rsid w:val="FFEF2210"/>
    <w:rsid w:val="FFEF79BB"/>
    <w:rsid w:val="FFEFB422"/>
    <w:rsid w:val="FFF0268A"/>
    <w:rsid w:val="FFF1E1C7"/>
    <w:rsid w:val="FFF42FA5"/>
    <w:rsid w:val="FFF4AA0E"/>
    <w:rsid w:val="FFF6FADD"/>
    <w:rsid w:val="FFF702F6"/>
    <w:rsid w:val="FFF7031E"/>
    <w:rsid w:val="FFF71BF1"/>
    <w:rsid w:val="FFF7A40E"/>
    <w:rsid w:val="FFF7F1C5"/>
    <w:rsid w:val="FFF91711"/>
    <w:rsid w:val="FFF9DF8B"/>
    <w:rsid w:val="FFFB077E"/>
    <w:rsid w:val="FFFB27C6"/>
    <w:rsid w:val="FFFB766C"/>
    <w:rsid w:val="FFFBC169"/>
    <w:rsid w:val="FFFBEE33"/>
    <w:rsid w:val="FFFC1236"/>
    <w:rsid w:val="FFFD3218"/>
    <w:rsid w:val="FFFD8A3F"/>
    <w:rsid w:val="FFFDA399"/>
    <w:rsid w:val="FFFE2DEE"/>
    <w:rsid w:val="FFFE5270"/>
    <w:rsid w:val="FFFE6EC6"/>
    <w:rsid w:val="FFFE8E4A"/>
    <w:rsid w:val="FFFECBCD"/>
    <w:rsid w:val="FFFEDCC8"/>
    <w:rsid w:val="FFFF48E0"/>
    <w:rsid w:val="FFFF98CD"/>
    <w:rsid w:val="FFFFEC2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qFormat/>
    <w:uiPriority w:val="0"/>
    <w:pPr>
      <w:widowControl w:val="0"/>
      <w:spacing w:after="0" w:line="520" w:lineRule="exact"/>
      <w:jc w:val="center"/>
    </w:pPr>
    <w:rPr>
      <w:rFonts w:ascii="仿宋_GB2312" w:hAnsi="Calibri" w:eastAsia="仿宋_GB2312" w:cs="宋体"/>
      <w:kern w:val="0"/>
      <w:sz w:val="28"/>
      <w:szCs w:val="24"/>
      <w:lang w:val="zh-CN" w:eastAsia="zh-CN" w:bidi="ar-SA"/>
    </w:rPr>
  </w:style>
  <w:style w:type="paragraph" w:styleId="3">
    <w:name w:val="annotation text"/>
    <w:basedOn w:val="1"/>
    <w:qFormat/>
    <w:uiPriority w:val="0"/>
    <w:pPr>
      <w:widowControl w:val="0"/>
      <w:spacing w:after="0"/>
      <w:jc w:val="left"/>
    </w:pPr>
    <w:rPr>
      <w:rFonts w:ascii="Calibri" w:hAnsi="Calibri" w:eastAsia="宋体" w:cs="Calibri"/>
      <w:kern w:val="2"/>
      <w:sz w:val="21"/>
      <w:szCs w:val="22"/>
      <w:lang w:val="en-US" w:eastAsia="zh-CN" w:bidi="ar-SA"/>
    </w:rPr>
  </w:style>
  <w:style w:type="paragraph" w:styleId="4">
    <w:name w:val="footer"/>
    <w:basedOn w:val="1"/>
    <w:qFormat/>
    <w:uiPriority w:val="0"/>
    <w:pPr>
      <w:widowControl w:val="0"/>
      <w:tabs>
        <w:tab w:val="center" w:pos="4140"/>
        <w:tab w:val="right" w:pos="8300"/>
      </w:tabs>
      <w:snapToGrid w:val="0"/>
      <w:spacing w:after="0"/>
      <w:jc w:val="left"/>
    </w:pPr>
    <w:rPr>
      <w:rFonts w:ascii="Calibri" w:hAnsi="Calibri" w:eastAsia="宋体" w:cs="宋体"/>
      <w:kern w:val="2"/>
      <w:sz w:val="18"/>
      <w:szCs w:val="18"/>
      <w:lang w:val="en-US" w:eastAsia="zh-CN" w:bidi="ar-SA"/>
    </w:rPr>
  </w:style>
  <w:style w:type="paragraph" w:styleId="5">
    <w:name w:val="Normal (Web)"/>
    <w:basedOn w:val="1"/>
    <w:qFormat/>
    <w:uiPriority w:val="0"/>
    <w:pPr>
      <w:widowControl w:val="0"/>
      <w:spacing w:before="100" w:beforeAutospacing="1" w:after="100" w:afterAutospacing="1"/>
      <w:ind w:left="0" w:right="0"/>
      <w:jc w:val="left"/>
    </w:pPr>
    <w:rPr>
      <w:rFonts w:ascii="Calibri" w:hAnsi="Calibri" w:eastAsia="宋体" w:cs="宋体"/>
      <w:kern w:val="0"/>
      <w:sz w:val="24"/>
      <w:szCs w:val="24"/>
      <w:lang w:val="en-US" w:eastAsia="zh-CN" w:bidi="ar-SA"/>
    </w:rPr>
  </w:style>
  <w:style w:type="character" w:styleId="8">
    <w:name w:val="Strong"/>
    <w:qFormat/>
    <w:uiPriority w:val="0"/>
    <w:rPr>
      <w:rFonts w:ascii="Times New Roman" w:hAnsi="Times New Roman" w:eastAsia="宋体" w:cs="Times New Roman"/>
      <w:b/>
      <w:sz w:val="21"/>
    </w:rPr>
  </w:style>
  <w:style w:type="character" w:styleId="9">
    <w:name w:val="page number"/>
    <w:qFormat/>
    <w:uiPriority w:val="0"/>
    <w:rPr>
      <w:rFonts w:ascii="Times New Roman" w:hAnsi="Times New Roman"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4555</Words>
  <Characters>4575</Characters>
  <Paragraphs>256</Paragraphs>
  <TotalTime>12</TotalTime>
  <ScaleCrop>false</ScaleCrop>
  <LinksUpToDate>false</LinksUpToDate>
  <CharactersWithSpaces>4989</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2022-12-29T16:05:00Z</dcterms:created>
  <dc:creator>CLT-AL00</dc:creator>
  <cp:lastModifiedBy>cqtj</cp:lastModifiedBy>
  <cp:lastPrinted>2023-02-01T07:15:00Z</cp:lastPrinted>
  <dcterms:modified xsi:type="dcterms:W3CDTF">2023-02-06T16:58:15Z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706d0cb0f07b4236a1c803347e8203ed</vt:lpwstr>
  </property>
  <property fmtid="{D5CDD505-2E9C-101B-9397-08002B2CF9AE}" pid="3" name="KSOProductBuildVer">
    <vt:lpwstr>2052-11.8.2.10422</vt:lpwstr>
  </property>
</Properties>
</file>