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72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1"/>
          <w:szCs w:val="41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1"/>
          <w:szCs w:val="41"/>
        </w:rPr>
        <w:t>重庆市人民建议奖励办法</w:t>
      </w:r>
    </w:p>
    <w:p>
      <w:pPr>
        <w:widowControl/>
        <w:spacing w:line="557" w:lineRule="atLeast"/>
        <w:ind w:firstLine="584"/>
        <w:jc w:val="center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1999</w:t>
      </w: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年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10</w:t>
      </w: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月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25</w:t>
      </w: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日重庆市人民政府令第</w:t>
      </w:r>
      <w:r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  <w:t>65</w:t>
      </w:r>
      <w:r>
        <w:rPr>
          <w:rFonts w:hint="eastAsia" w:ascii="MS Mincho" w:hAnsi="MS Mincho" w:eastAsia="MS Mincho" w:cs="MS Mincho"/>
          <w:color w:val="333333"/>
          <w:kern w:val="0"/>
          <w:sz w:val="29"/>
          <w:szCs w:val="29"/>
        </w:rPr>
        <w:t> </w:t>
      </w: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号公布 自公布之日起施行）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MS Mincho" w:hAnsi="MS Mincho" w:eastAsia="MS Mincho" w:cs="MS Mincho"/>
          <w:color w:val="333333"/>
          <w:kern w:val="0"/>
          <w:sz w:val="29"/>
          <w:szCs w:val="29"/>
        </w:rPr>
        <w:t>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第一条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为鼓励人民群众献计献策，集中群众智慧，促进我市改革开放和经济、社会发展，制定本办法。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第二条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本市公民、市外公民以及外国人、无国籍人均可就本市经济建设和社会发展、政府工作等方面提出意见和建议。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所提意见和建议（以下统称人民建议）应采用书面形式，并注明姓名和通信地址。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市人民政府对有价值的人民建议给予奖励。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第三条</w:t>
      </w:r>
      <w:r>
        <w:rPr>
          <w:rFonts w:hint="eastAsia" w:ascii="MS Mincho" w:hAnsi="MS Mincho" w:eastAsia="MS Mincho" w:cs="MS Mincho"/>
          <w:color w:val="333333"/>
          <w:kern w:val="0"/>
          <w:sz w:val="29"/>
          <w:szCs w:val="29"/>
        </w:rPr>
        <w:t> 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人民建议奖励，坚持精神鼓励和物质奖励相结合，以精神鼓励为主的原则。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第四条</w:t>
      </w:r>
      <w:r>
        <w:rPr>
          <w:rFonts w:hint="eastAsia" w:ascii="MS Mincho" w:hAnsi="MS Mincho" w:eastAsia="MS Mincho" w:cs="MS Mincho"/>
          <w:color w:val="333333"/>
          <w:kern w:val="0"/>
          <w:sz w:val="29"/>
          <w:szCs w:val="29"/>
        </w:rPr>
        <w:t> 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市人民政府设立人民建议奖。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人民建议奖分为特等奖，一、二、三等奖和鼓励奖。获奖者由市人民政府颁发荣誉证书予以表彰，并发给奖金。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特等奖：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所提建议对本市的建设和发展具有重要价值或产生了重要作用的，奖金不低于</w:t>
      </w:r>
      <w:r>
        <w:rPr>
          <w:rFonts w:ascii="Times New Roman" w:hAnsi="Times New Roman" w:eastAsia="方正仿宋_GBK" w:cs="Times New Roman"/>
          <w:color w:val="333333"/>
          <w:kern w:val="0"/>
          <w:sz w:val="29"/>
          <w:szCs w:val="29"/>
        </w:rPr>
        <w:t>50000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元人民币。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一等奖：</w:t>
      </w:r>
    </w:p>
    <w:p>
      <w:pPr>
        <w:widowControl/>
        <w:spacing w:line="557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所提建议能够产生或产生了显著的经济效益或社会效益的，奖金</w:t>
      </w:r>
      <w:r>
        <w:rPr>
          <w:rFonts w:ascii="Times New Roman" w:hAnsi="Times New Roman" w:eastAsia="方正仿宋_GBK" w:cs="Times New Roman"/>
          <w:color w:val="333333"/>
          <w:kern w:val="0"/>
          <w:sz w:val="29"/>
          <w:szCs w:val="29"/>
        </w:rPr>
        <w:t>10000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元人民币。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二等奖：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所提建议能够产生或产生了明显的经济效益或社会效益的，奖金</w:t>
      </w:r>
      <w:r>
        <w:rPr>
          <w:rFonts w:ascii="Times New Roman" w:hAnsi="Times New Roman" w:eastAsia="方正仿宋_GBK" w:cs="Times New Roman"/>
          <w:color w:val="333333"/>
          <w:kern w:val="0"/>
          <w:sz w:val="29"/>
          <w:szCs w:val="29"/>
        </w:rPr>
        <w:t>5000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元人民币。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三等奖：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所提建议能够产生或产生了一定的经济效益或社会效益的，奖金</w:t>
      </w:r>
      <w:r>
        <w:rPr>
          <w:rFonts w:ascii="Times New Roman" w:hAnsi="Times New Roman" w:eastAsia="方正仿宋_GBK" w:cs="Times New Roman"/>
          <w:color w:val="333333"/>
          <w:kern w:val="0"/>
          <w:sz w:val="29"/>
          <w:szCs w:val="29"/>
        </w:rPr>
        <w:t>3000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元人民币。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楷体_GBK" w:hAnsi="Times New Roman" w:eastAsia="方正楷体_GBK" w:cs="Times New Roman"/>
          <w:color w:val="333333"/>
          <w:kern w:val="0"/>
          <w:sz w:val="29"/>
          <w:szCs w:val="29"/>
        </w:rPr>
        <w:t>鼓励奖：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经常提出建议，并有一定参考价值的，奖金</w:t>
      </w:r>
      <w:r>
        <w:rPr>
          <w:rFonts w:ascii="Times New Roman" w:hAnsi="Times New Roman" w:eastAsia="方正仿宋_GBK" w:cs="Times New Roman"/>
          <w:color w:val="333333"/>
          <w:kern w:val="0"/>
          <w:sz w:val="29"/>
          <w:szCs w:val="29"/>
        </w:rPr>
        <w:t>1000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元人民币或纪念品。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第五条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设立人民建议奖评审小组。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评审小组由市人民政府办公厅、市人事局、市财政局，市人民政府人民建议征集办公室（以下简称市建议征集办）等相关部门和有关专家组成，负责评审工作。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第六条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人民建议奖每年颁发一次。奖励评审按以下程序进行：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（一）每年</w:t>
      </w:r>
      <w:r>
        <w:rPr>
          <w:rFonts w:ascii="Times New Roman" w:hAnsi="Times New Roman" w:eastAsia="方正仿宋_GBK" w:cs="Times New Roman"/>
          <w:color w:val="333333"/>
          <w:kern w:val="0"/>
          <w:sz w:val="29"/>
          <w:szCs w:val="29"/>
        </w:rPr>
        <w:t>3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月，由市建议征集办商市人事局提出上年度奖励建议名单，填写《人民建议奖励申报表》，并根据奖励建议名单，确定参加评审小组的单位和人员；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（二）提请评审小组审核奖励建议名单；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（三）奖励建议名单评审完毕后报市人民政府审批；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（四）向社会公布获奖名单，并采用适当方式颁奖。提请评审的建议，须附具原始信件、有关部门对建议作出的论证结论及其它应附的材料。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同一内容的建议，以收文时间为序，提请评审最早提出的建议人。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同一内容、互相补充的多个建议，作为共同建议提请评审。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第七条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人民建议奖励为专项奖，不涉及获奖者的人事、工资等其它待遇。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第八条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本办法由重庆市人民政府人民建议征集办公室负责组织实施。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第九条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区县（自治县、市）人民政府可以参照本办法执行。</w:t>
      </w:r>
    </w:p>
    <w:p>
      <w:pPr>
        <w:widowControl/>
        <w:spacing w:line="543" w:lineRule="atLeast"/>
        <w:ind w:firstLine="584"/>
        <w:rPr>
          <w:rFonts w:ascii="Times New Roman" w:hAnsi="Times New Roman" w:eastAsia="宋体" w:cs="Times New Roman"/>
          <w:color w:val="333333"/>
          <w:kern w:val="0"/>
          <w:sz w:val="29"/>
          <w:szCs w:val="29"/>
        </w:rPr>
      </w:pPr>
      <w:r>
        <w:rPr>
          <w:rFonts w:hint="eastAsia" w:ascii="方正黑体_GBK" w:hAnsi="Times New Roman" w:eastAsia="方正黑体_GBK" w:cs="Times New Roman"/>
          <w:color w:val="333333"/>
          <w:kern w:val="0"/>
          <w:sz w:val="29"/>
          <w:szCs w:val="29"/>
        </w:rPr>
        <w:t>第十条 </w:t>
      </w:r>
      <w:r>
        <w:rPr>
          <w:rFonts w:hint="eastAsia" w:ascii="方正仿宋_GBK" w:hAnsi="Times New Roman" w:eastAsia="方正仿宋_GBK" w:cs="Times New Roman"/>
          <w:color w:val="333333"/>
          <w:kern w:val="0"/>
          <w:sz w:val="29"/>
          <w:szCs w:val="29"/>
        </w:rPr>
        <w:t>本办法自发布之日起施行。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F7"/>
    <w:rsid w:val="003261F7"/>
    <w:rsid w:val="004B5C24"/>
    <w:rsid w:val="004C15E4"/>
    <w:rsid w:val="00564401"/>
    <w:rsid w:val="009D2014"/>
    <w:rsid w:val="7FBE5C56"/>
    <w:rsid w:val="DF5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tit"/>
    <w:basedOn w:val="7"/>
    <w:qFormat/>
    <w:uiPriority w:val="0"/>
  </w:style>
  <w:style w:type="character" w:customStyle="1" w:styleId="12">
    <w:name w:val="con"/>
    <w:basedOn w:val="7"/>
    <w:qFormat/>
    <w:uiPriority w:val="0"/>
  </w:style>
  <w:style w:type="paragraph" w:customStyle="1" w:styleId="13">
    <w:name w:val="ti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245</Words>
  <Characters>1399</Characters>
  <Lines>11</Lines>
  <Paragraphs>3</Paragraphs>
  <TotalTime>12</TotalTime>
  <ScaleCrop>false</ScaleCrop>
  <LinksUpToDate>false</LinksUpToDate>
  <CharactersWithSpaces>1641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2022-10-13T16:38:00Z</dcterms:created>
  <dc:creator>Administrator</dc:creator>
  <cp:lastModifiedBy>user</cp:lastModifiedBy>
  <dcterms:modified xsi:type="dcterms:W3CDTF">2022-10-13T09:42:41Z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