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eastAsia="方正小标宋_GBK"/>
          <w:sz w:val="40"/>
          <w:szCs w:val="40"/>
        </w:rPr>
      </w:pPr>
      <w:bookmarkStart w:id="0" w:name="_GoBack"/>
      <w:bookmarkEnd w:id="0"/>
    </w:p>
    <w:p>
      <w:pPr>
        <w:spacing w:line="460" w:lineRule="exact"/>
        <w:jc w:val="center"/>
        <w:rPr>
          <w:rFonts w:eastAsia="方正小标宋_GBK"/>
          <w:sz w:val="40"/>
          <w:szCs w:val="40"/>
        </w:rPr>
      </w:pPr>
    </w:p>
    <w:p>
      <w:pPr>
        <w:spacing w:line="460" w:lineRule="exact"/>
        <w:jc w:val="center"/>
        <w:rPr>
          <w:rFonts w:eastAsia="方正小标宋_GBK"/>
          <w:sz w:val="40"/>
          <w:szCs w:val="40"/>
        </w:rPr>
      </w:pPr>
    </w:p>
    <w:p>
      <w:pPr>
        <w:spacing w:line="600" w:lineRule="exact"/>
        <w:jc w:val="center"/>
        <w:rPr>
          <w:rFonts w:eastAsia="方正小标宋_GBK"/>
          <w:w w:val="40"/>
          <w:sz w:val="40"/>
          <w:szCs w:val="40"/>
        </w:rPr>
      </w:pPr>
    </w:p>
    <w:p>
      <w:pPr>
        <w:autoSpaceDE w:val="0"/>
        <w:autoSpaceDN w:val="0"/>
        <w:adjustRightInd w:val="0"/>
        <w:spacing w:line="400" w:lineRule="exact"/>
        <w:ind w:right="629"/>
        <w:rPr>
          <w:rFonts w:eastAsia="黑体"/>
          <w:color w:val="000000"/>
          <w:kern w:val="0"/>
        </w:rPr>
      </w:pPr>
    </w:p>
    <w:tbl>
      <w:tblPr>
        <w:tblStyle w:val="12"/>
        <w:tblW w:w="907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2"/>
        <w:gridCol w:w="15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2" w:type="dxa"/>
            <w:noWrap/>
          </w:tcPr>
          <w:p>
            <w:pPr>
              <w:autoSpaceDE w:val="0"/>
              <w:autoSpaceDN w:val="0"/>
              <w:adjustRightInd w:val="0"/>
              <w:spacing w:line="800" w:lineRule="exact"/>
              <w:jc w:val="distribute"/>
              <w:rPr>
                <w:rFonts w:eastAsia="方正小标宋_GBK"/>
                <w:color w:val="FF0000"/>
                <w:spacing w:val="-28"/>
                <w:w w:val="85"/>
                <w:kern w:val="0"/>
                <w:sz w:val="70"/>
                <w:szCs w:val="70"/>
              </w:rPr>
            </w:pPr>
            <w:r>
              <w:rPr>
                <w:rFonts w:eastAsia="方正小标宋_GBK"/>
                <w:color w:val="FF0000"/>
                <w:spacing w:val="-28"/>
                <w:w w:val="85"/>
                <w:kern w:val="0"/>
                <w:sz w:val="70"/>
                <w:szCs w:val="70"/>
              </w:rPr>
              <w:t>重庆市医疗保障局</w:t>
            </w:r>
          </w:p>
        </w:tc>
        <w:tc>
          <w:tcPr>
            <w:tcW w:w="1565" w:type="dxa"/>
            <w:vMerge w:val="restart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1000" w:lineRule="exact"/>
              <w:rPr>
                <w:rFonts w:eastAsia="方正小标宋_GBK"/>
                <w:color w:val="FF0000"/>
                <w:spacing w:val="-28"/>
                <w:w w:val="85"/>
                <w:kern w:val="0"/>
                <w:sz w:val="70"/>
                <w:szCs w:val="70"/>
              </w:rPr>
            </w:pPr>
            <w:r>
              <w:rPr>
                <w:rFonts w:eastAsia="方正小标宋_GBK"/>
                <w:color w:val="FF0000"/>
                <w:spacing w:val="-28"/>
                <w:w w:val="85"/>
                <w:kern w:val="0"/>
                <w:sz w:val="70"/>
                <w:szCs w:val="70"/>
              </w:rPr>
              <w:t>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2" w:type="dxa"/>
            <w:noWrap/>
          </w:tcPr>
          <w:p>
            <w:pPr>
              <w:autoSpaceDE w:val="0"/>
              <w:autoSpaceDN w:val="0"/>
              <w:adjustRightInd w:val="0"/>
              <w:spacing w:line="800" w:lineRule="exact"/>
              <w:jc w:val="distribute"/>
              <w:rPr>
                <w:rFonts w:eastAsia="方正小标宋_GBK"/>
                <w:color w:val="FF0000"/>
                <w:spacing w:val="-28"/>
                <w:w w:val="85"/>
                <w:kern w:val="0"/>
                <w:sz w:val="70"/>
                <w:szCs w:val="70"/>
              </w:rPr>
            </w:pPr>
            <w:r>
              <w:rPr>
                <w:rFonts w:eastAsia="方正小标宋_GBK"/>
                <w:color w:val="FF0000"/>
                <w:spacing w:val="-28"/>
                <w:w w:val="85"/>
                <w:kern w:val="0"/>
                <w:sz w:val="70"/>
                <w:szCs w:val="70"/>
              </w:rPr>
              <w:t>重庆市</w:t>
            </w:r>
            <w:r>
              <w:rPr>
                <w:rFonts w:hint="eastAsia" w:eastAsia="方正小标宋_GBK"/>
                <w:color w:val="FF0000"/>
                <w:spacing w:val="-28"/>
                <w:w w:val="85"/>
                <w:kern w:val="0"/>
                <w:sz w:val="70"/>
                <w:szCs w:val="70"/>
              </w:rPr>
              <w:t>卫生健康委员会</w:t>
            </w:r>
          </w:p>
        </w:tc>
        <w:tc>
          <w:tcPr>
            <w:tcW w:w="1565" w:type="dxa"/>
            <w:vMerge w:val="continue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1000" w:lineRule="exact"/>
              <w:rPr>
                <w:rFonts w:eastAsia="方正小标宋_GBK"/>
                <w:color w:val="FF0000"/>
                <w:spacing w:val="-28"/>
                <w:w w:val="85"/>
                <w:kern w:val="0"/>
                <w:sz w:val="70"/>
                <w:szCs w:val="70"/>
              </w:rPr>
            </w:pPr>
          </w:p>
        </w:tc>
      </w:tr>
    </w:tbl>
    <w:p>
      <w:pPr>
        <w:autoSpaceDE w:val="0"/>
        <w:autoSpaceDN w:val="0"/>
        <w:adjustRightInd w:val="0"/>
        <w:spacing w:line="380" w:lineRule="exact"/>
        <w:jc w:val="center"/>
        <w:rPr>
          <w:rFonts w:eastAsia="方正小标宋_GBK"/>
          <w:color w:val="FF0000"/>
          <w:spacing w:val="-50"/>
          <w:w w:val="90"/>
          <w:kern w:val="0"/>
          <w:sz w:val="70"/>
          <w:szCs w:val="70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eastAsia="方正仿宋_GBK"/>
        </w:rPr>
      </w:pPr>
      <w:r>
        <w:rPr>
          <w:rFonts w:eastAsia="方正仿宋_GBK"/>
        </w:rPr>
        <w:t>渝医保发〔20</w:t>
      </w:r>
      <w:r>
        <w:rPr>
          <w:rFonts w:hint="eastAsia" w:eastAsia="方正仿宋_GBK"/>
        </w:rPr>
        <w:t>22</w:t>
      </w:r>
      <w:r>
        <w:rPr>
          <w:rFonts w:eastAsia="方正仿宋_GBK"/>
        </w:rPr>
        <w:t>〕</w:t>
      </w:r>
      <w:r>
        <w:rPr>
          <w:rFonts w:hint="eastAsia" w:eastAsia="方正仿宋_GBK"/>
        </w:rPr>
        <w:t>11</w:t>
      </w:r>
      <w:r>
        <w:rPr>
          <w:rFonts w:eastAsia="方正仿宋_GBK"/>
        </w:rPr>
        <w:t>号</w:t>
      </w:r>
    </w:p>
    <w:p>
      <w:pPr>
        <w:autoSpaceDE w:val="0"/>
        <w:autoSpaceDN w:val="0"/>
        <w:adjustRightInd w:val="0"/>
        <w:spacing w:line="100" w:lineRule="exact"/>
        <w:jc w:val="center"/>
        <w:rPr>
          <w:rFonts w:eastAsia="方正仿宋_GBK"/>
          <w:color w:val="000000"/>
          <w:kern w:val="0"/>
        </w:rPr>
      </w:pPr>
    </w:p>
    <w:tbl>
      <w:tblPr>
        <w:tblStyle w:val="12"/>
        <w:tblW w:w="90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9077" w:type="dxa"/>
            <w:tcBorders>
              <w:top w:val="single" w:color="FF0000" w:sz="12" w:space="0"/>
            </w:tcBorders>
            <w:noWrap/>
          </w:tcPr>
          <w:p>
            <w:pPr>
              <w:spacing w:line="600" w:lineRule="exact"/>
              <w:rPr>
                <w:rFonts w:eastAsia="方正小标宋简体"/>
                <w:sz w:val="36"/>
                <w:szCs w:val="24"/>
              </w:rPr>
            </w:pPr>
          </w:p>
        </w:tc>
      </w:tr>
    </w:tbl>
    <w:p>
      <w:pPr>
        <w:spacing w:line="600" w:lineRule="exact"/>
        <w:jc w:val="center"/>
        <w:rPr>
          <w:rFonts w:ascii="方正小标宋_GBK" w:hAnsi="微软雅黑" w:eastAsia="方正小标宋_GBK"/>
          <w:color w:val="222222"/>
          <w:sz w:val="44"/>
          <w:szCs w:val="44"/>
          <w:shd w:val="clear" w:color="auto" w:fill="FFFFFF"/>
        </w:rPr>
      </w:pPr>
      <w:r>
        <w:rPr>
          <w:rFonts w:hint="eastAsia" w:ascii="方正小标宋_GBK" w:hAnsi="微软雅黑" w:eastAsia="方正小标宋_GBK"/>
          <w:color w:val="222222"/>
          <w:sz w:val="44"/>
          <w:szCs w:val="44"/>
          <w:shd w:val="clear" w:color="auto" w:fill="FFFFFF"/>
        </w:rPr>
        <w:t>关于进一步降低新冠病毒核酸检测项目价格的通知</w:t>
      </w:r>
    </w:p>
    <w:p>
      <w:pPr>
        <w:spacing w:line="600" w:lineRule="exact"/>
        <w:jc w:val="center"/>
        <w:rPr>
          <w:rFonts w:ascii="方正仿宋_GBK" w:hAnsi="微软雅黑" w:eastAsia="方正仿宋_GBK"/>
          <w:color w:val="222222"/>
          <w:shd w:val="clear" w:color="auto" w:fill="FFFFFF"/>
        </w:rPr>
      </w:pPr>
    </w:p>
    <w:p>
      <w:pPr>
        <w:spacing w:line="520" w:lineRule="exact"/>
        <w:rPr>
          <w:rFonts w:eastAsia="方正仿宋_GBK"/>
        </w:rPr>
      </w:pPr>
      <w:r>
        <w:rPr>
          <w:rFonts w:hint="eastAsia" w:eastAsia="方正仿宋_GBK"/>
        </w:rPr>
        <w:t>各区县（自治县）医疗保障局、卫生健康委，两江新区社会保障局、社会发展局，高新区政务服务和社会事务中心、公共服务局，万盛经开区人力社保局、卫生健康局，各公立医疗机构，有关单位：</w:t>
      </w:r>
    </w:p>
    <w:p>
      <w:pPr>
        <w:spacing w:line="520" w:lineRule="exact"/>
        <w:ind w:firstLine="640" w:firstLineChars="200"/>
        <w:rPr>
          <w:rFonts w:eastAsia="方正仿宋_GBK"/>
        </w:rPr>
      </w:pPr>
      <w:r>
        <w:rPr>
          <w:rFonts w:hint="eastAsia" w:eastAsia="方正仿宋_GBK"/>
        </w:rPr>
        <w:t>为适应新冠病毒肺炎疫情防控要求，降低疫情防控和社会运行成本，减轻群众负担，经研究，决定进一步降低医疗机构新冠病毒核酸检测项目价格，现将有关事项通知如下：</w:t>
      </w:r>
    </w:p>
    <w:p>
      <w:pPr>
        <w:spacing w:line="520" w:lineRule="exact"/>
        <w:ind w:firstLine="640" w:firstLineChars="200"/>
        <w:rPr>
          <w:rFonts w:eastAsia="方正仿宋_GBK"/>
        </w:rPr>
      </w:pPr>
      <w:r>
        <w:rPr>
          <w:rFonts w:hint="eastAsia" w:eastAsia="方正仿宋_GBK"/>
        </w:rPr>
        <w:t>一、降低公立医疗机构新冠病毒核酸检测项目的政府指导价。单人单检降至不高于每人份20元，多人混检统一降至每人份不高于4元。检测项目价格含检验相关的试剂等耗材，为各级公立医疗机构最高指导价格，不得上浮，医疗机构可以下浮执行。同步调整完善新冠病毒核酸检测项目（含单、混检）的医保报销属性及报销限制，具体详见附件。</w:t>
      </w:r>
    </w:p>
    <w:p>
      <w:pPr>
        <w:spacing w:line="520" w:lineRule="exact"/>
        <w:ind w:firstLine="640" w:firstLineChars="200"/>
        <w:rPr>
          <w:rFonts w:eastAsia="方正仿宋_GBK"/>
        </w:rPr>
      </w:pPr>
      <w:r>
        <w:rPr>
          <w:rFonts w:hint="eastAsia" w:eastAsia="方正仿宋_GBK"/>
        </w:rPr>
        <w:t>二、公立医疗机构开展新冠病毒核酸检测服务，应同时提供单人单检和多人混检两种服务选项，在符合疫情防控规定的前提下，允许“愿检尽检”的群众自愿选择。</w:t>
      </w:r>
    </w:p>
    <w:p>
      <w:pPr>
        <w:spacing w:line="520" w:lineRule="exact"/>
        <w:ind w:firstLine="640" w:firstLineChars="200"/>
        <w:rPr>
          <w:rFonts w:eastAsia="方正仿宋_GBK"/>
        </w:rPr>
      </w:pPr>
      <w:r>
        <w:rPr>
          <w:rFonts w:hint="eastAsia" w:eastAsia="方正仿宋_GBK"/>
        </w:rPr>
        <w:t>三、非公立医疗机构，以及医学检验实验室等第三方检测机构提供新冠病毒核酸检测服务，定价应当遵循“公平、合法和诚实信用”的原则，体现保本微利、质价相符，倡导参照公立医疗机构新冠病毒核酸检测项目价格。</w:t>
      </w:r>
    </w:p>
    <w:p>
      <w:pPr>
        <w:spacing w:line="520" w:lineRule="exact"/>
        <w:ind w:firstLine="640" w:firstLineChars="200"/>
        <w:rPr>
          <w:rFonts w:eastAsia="方正仿宋_GBK"/>
        </w:rPr>
      </w:pPr>
      <w:r>
        <w:rPr>
          <w:rFonts w:hint="eastAsia" w:eastAsia="方正仿宋_GBK"/>
        </w:rPr>
        <w:t>四、涉及降低公立医疗机构新冠病毒核酸检测项目价格的其他相关事项，按重庆市医疗保障局、重庆市卫生健康委员会《关于进一步降低新型冠状病毒核酸检测项目价格的通知》（渝医保发〔2021〕62号）执行。</w:t>
      </w:r>
    </w:p>
    <w:p>
      <w:pPr>
        <w:spacing w:line="520" w:lineRule="exact"/>
        <w:ind w:firstLine="640" w:firstLineChars="200"/>
        <w:rPr>
          <w:rFonts w:eastAsia="方正仿宋_GBK"/>
        </w:rPr>
      </w:pPr>
      <w:r>
        <w:rPr>
          <w:rFonts w:hint="eastAsia" w:eastAsia="方正仿宋_GBK"/>
        </w:rPr>
        <w:t>五、本通知自2022年5月15日零时起执行。原有政策与本通知不一致的，以本通知为准。</w:t>
      </w:r>
    </w:p>
    <w:p>
      <w:pPr>
        <w:spacing w:line="520" w:lineRule="exact"/>
        <w:ind w:firstLine="640" w:firstLineChars="200"/>
        <w:rPr>
          <w:rFonts w:eastAsia="方正仿宋_GBK"/>
        </w:rPr>
      </w:pPr>
    </w:p>
    <w:p>
      <w:pPr>
        <w:spacing w:line="520" w:lineRule="exact"/>
        <w:ind w:firstLine="640" w:firstLineChars="200"/>
        <w:rPr>
          <w:rFonts w:eastAsia="方正仿宋_GBK"/>
        </w:rPr>
      </w:pPr>
      <w:r>
        <w:rPr>
          <w:rFonts w:hint="eastAsia" w:eastAsia="方正仿宋_GBK"/>
        </w:rPr>
        <w:t>附件：新冠病毒核酸检测项目价格表</w:t>
      </w:r>
    </w:p>
    <w:p>
      <w:pPr>
        <w:spacing w:line="520" w:lineRule="exact"/>
        <w:ind w:firstLine="640" w:firstLineChars="200"/>
        <w:rPr>
          <w:rFonts w:eastAsia="方正仿宋_GBK"/>
        </w:rPr>
      </w:pPr>
    </w:p>
    <w:p>
      <w:pPr>
        <w:spacing w:line="520" w:lineRule="exact"/>
        <w:ind w:firstLine="640" w:firstLineChars="200"/>
        <w:rPr>
          <w:rFonts w:eastAsia="方正仿宋_GBK"/>
        </w:rPr>
      </w:pPr>
    </w:p>
    <w:p>
      <w:pPr>
        <w:spacing w:line="520" w:lineRule="exact"/>
        <w:ind w:firstLine="640" w:firstLineChars="200"/>
        <w:rPr>
          <w:rFonts w:eastAsia="方正仿宋_GBK"/>
        </w:rPr>
      </w:pPr>
    </w:p>
    <w:p>
      <w:pPr>
        <w:spacing w:line="520" w:lineRule="exact"/>
        <w:ind w:firstLine="640" w:firstLineChars="200"/>
        <w:rPr>
          <w:rFonts w:eastAsia="方正仿宋_GBK"/>
        </w:rPr>
      </w:pPr>
      <w:r>
        <w:rPr>
          <w:rFonts w:hint="eastAsia" w:eastAsia="方正仿宋_GBK"/>
        </w:rPr>
        <w:t>重庆市医疗保障局　　　重庆市卫生健康委员会</w:t>
      </w:r>
    </w:p>
    <w:p>
      <w:pPr>
        <w:spacing w:line="520" w:lineRule="exact"/>
        <w:ind w:firstLine="5692" w:firstLineChars="1779"/>
        <w:rPr>
          <w:rFonts w:eastAsia="方正仿宋_GBK"/>
        </w:rPr>
      </w:pPr>
      <w:r>
        <w:rPr>
          <w:rFonts w:hint="eastAsia" w:eastAsia="方正仿宋_GBK"/>
        </w:rPr>
        <w:t>2022年5月12日</w:t>
      </w:r>
    </w:p>
    <w:p>
      <w:pPr>
        <w:spacing w:line="520" w:lineRule="exact"/>
        <w:ind w:firstLine="640" w:firstLineChars="200"/>
        <w:rPr>
          <w:rFonts w:eastAsia="方正仿宋_GBK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formProt w:val="1"/>
          <w:docGrid w:type="lines" w:linePitch="312" w:charSpace="0"/>
        </w:sectPr>
      </w:pPr>
      <w:r>
        <w:rPr>
          <w:rFonts w:hint="eastAsia" w:eastAsia="方正仿宋_GBK"/>
        </w:rPr>
        <w:t>（此件公开发布）</w:t>
      </w:r>
    </w:p>
    <w:p>
      <w:pPr>
        <w:spacing w:line="600" w:lineRule="exact"/>
        <w:jc w:val="left"/>
        <w:rPr>
          <w:rFonts w:eastAsia="方正黑体_GBK"/>
        </w:rPr>
      </w:pPr>
      <w:r>
        <w:rPr>
          <w:rFonts w:hint="eastAsia" w:eastAsia="方正黑体_GBK"/>
        </w:rPr>
        <w:t>附件</w:t>
      </w:r>
    </w:p>
    <w:p>
      <w:pPr>
        <w:spacing w:line="500" w:lineRule="exact"/>
        <w:jc w:val="center"/>
        <w:rPr>
          <w:rFonts w:ascii="方正小标宋_GBK" w:hAnsi="Calibri" w:eastAsia="方正小标宋_GBK"/>
          <w:sz w:val="44"/>
          <w:szCs w:val="44"/>
        </w:rPr>
      </w:pPr>
      <w:r>
        <w:rPr>
          <w:rFonts w:hint="eastAsia" w:ascii="方正小标宋_GBK" w:hAnsi="Calibri" w:eastAsia="方正小标宋_GBK"/>
          <w:color w:val="000000"/>
          <w:kern w:val="0"/>
          <w:sz w:val="44"/>
          <w:szCs w:val="44"/>
        </w:rPr>
        <w:t>新冠病毒核酸检测项目价格表</w:t>
      </w:r>
    </w:p>
    <w:tbl>
      <w:tblPr>
        <w:tblStyle w:val="12"/>
        <w:tblW w:w="4996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463"/>
        <w:gridCol w:w="2271"/>
        <w:gridCol w:w="1137"/>
        <w:gridCol w:w="978"/>
        <w:gridCol w:w="1236"/>
        <w:gridCol w:w="2546"/>
        <w:gridCol w:w="1168"/>
        <w:gridCol w:w="21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 w:cs="方正书宋_GBK"/>
                <w:color w:val="000000"/>
                <w:kern w:val="0"/>
                <w:sz w:val="24"/>
              </w:rPr>
            </w:pPr>
            <w:r>
              <w:rPr>
                <w:rFonts w:hint="eastAsia" w:eastAsia="方正黑体_GBK" w:cs="方正书宋_GBK"/>
                <w:color w:val="000000"/>
                <w:kern w:val="0"/>
                <w:sz w:val="24"/>
                <w:szCs w:val="24"/>
              </w:rPr>
              <w:t>项目编码</w:t>
            </w:r>
          </w:p>
        </w:tc>
        <w:tc>
          <w:tcPr>
            <w:tcW w:w="5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 w:cs="方正书宋_GBK"/>
                <w:color w:val="000000"/>
                <w:kern w:val="0"/>
                <w:sz w:val="24"/>
              </w:rPr>
            </w:pPr>
            <w:r>
              <w:rPr>
                <w:rFonts w:hint="eastAsia" w:eastAsia="方正黑体_GBK" w:cs="方正书宋_GBK"/>
                <w:color w:val="000000"/>
                <w:kern w:val="0"/>
                <w:sz w:val="24"/>
                <w:szCs w:val="24"/>
              </w:rPr>
              <w:t>项目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 w:cs="方正书宋_GBK"/>
                <w:color w:val="000000"/>
                <w:kern w:val="0"/>
                <w:sz w:val="24"/>
              </w:rPr>
            </w:pPr>
            <w:r>
              <w:rPr>
                <w:rFonts w:hint="eastAsia" w:eastAsia="方正黑体_GBK" w:cs="方正书宋_GBK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8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 w:cs="方正书宋_GBK"/>
                <w:color w:val="000000"/>
                <w:kern w:val="0"/>
                <w:sz w:val="24"/>
              </w:rPr>
            </w:pPr>
            <w:r>
              <w:rPr>
                <w:rFonts w:hint="eastAsia" w:eastAsia="方正黑体_GBK" w:cs="方正书宋_GBK"/>
                <w:color w:val="000000"/>
                <w:kern w:val="0"/>
                <w:sz w:val="24"/>
                <w:szCs w:val="24"/>
              </w:rPr>
              <w:t>项目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 w:cs="方正书宋_GBK"/>
                <w:color w:val="000000"/>
                <w:kern w:val="0"/>
                <w:sz w:val="24"/>
              </w:rPr>
            </w:pPr>
            <w:r>
              <w:rPr>
                <w:rFonts w:hint="eastAsia" w:eastAsia="方正黑体_GBK" w:cs="方正书宋_GBK"/>
                <w:color w:val="000000"/>
                <w:kern w:val="0"/>
                <w:sz w:val="24"/>
                <w:szCs w:val="24"/>
              </w:rPr>
              <w:t>内涵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 w:cs="方正书宋_GBK"/>
                <w:color w:val="000000"/>
                <w:kern w:val="0"/>
                <w:sz w:val="24"/>
              </w:rPr>
            </w:pPr>
            <w:r>
              <w:rPr>
                <w:rFonts w:hint="eastAsia" w:eastAsia="方正黑体_GBK" w:cs="方正书宋_GBK"/>
                <w:color w:val="000000"/>
                <w:kern w:val="0"/>
                <w:sz w:val="24"/>
                <w:szCs w:val="24"/>
              </w:rPr>
              <w:t>除外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 w:cs="方正书宋_GBK"/>
                <w:color w:val="000000"/>
                <w:kern w:val="0"/>
                <w:sz w:val="24"/>
              </w:rPr>
            </w:pPr>
            <w:r>
              <w:rPr>
                <w:rFonts w:hint="eastAsia" w:eastAsia="方正黑体_GBK" w:cs="方正书宋_GBK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 w:cs="方正书宋_GBK"/>
                <w:color w:val="000000"/>
                <w:kern w:val="0"/>
                <w:sz w:val="24"/>
              </w:rPr>
            </w:pPr>
            <w:r>
              <w:rPr>
                <w:rFonts w:hint="eastAsia" w:eastAsia="方正黑体_GBK" w:cs="方正书宋_GBK"/>
                <w:color w:val="000000"/>
                <w:kern w:val="0"/>
                <w:sz w:val="24"/>
                <w:szCs w:val="24"/>
              </w:rPr>
              <w:t>计价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 w:cs="方正书宋_GBK"/>
                <w:color w:val="000000"/>
                <w:kern w:val="0"/>
                <w:sz w:val="24"/>
              </w:rPr>
            </w:pPr>
            <w:r>
              <w:rPr>
                <w:rFonts w:hint="eastAsia" w:eastAsia="方正黑体_GBK" w:cs="方正书宋_GBK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 w:cs="方正书宋_GBK"/>
                <w:color w:val="000000"/>
                <w:kern w:val="0"/>
                <w:sz w:val="24"/>
              </w:rPr>
            </w:pPr>
            <w:r>
              <w:rPr>
                <w:rFonts w:hint="eastAsia" w:eastAsia="方正黑体_GBK" w:cs="方正书宋_GBK"/>
                <w:color w:val="000000"/>
                <w:kern w:val="0"/>
                <w:sz w:val="24"/>
                <w:szCs w:val="24"/>
              </w:rPr>
              <w:t>政府指导价（元）</w:t>
            </w: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 w:cs="方正书宋_GBK"/>
                <w:color w:val="000000"/>
                <w:kern w:val="0"/>
                <w:sz w:val="24"/>
              </w:rPr>
            </w:pPr>
            <w:r>
              <w:rPr>
                <w:rFonts w:hint="eastAsia" w:eastAsia="方正黑体_GBK" w:cs="方正书宋_GBK"/>
                <w:color w:val="000000"/>
                <w:kern w:val="0"/>
                <w:sz w:val="24"/>
                <w:szCs w:val="24"/>
              </w:rPr>
              <w:t>说明</w:t>
            </w:r>
          </w:p>
        </w:tc>
        <w:tc>
          <w:tcPr>
            <w:tcW w:w="4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 w:cs="方正书宋_GBK"/>
                <w:color w:val="000000"/>
                <w:kern w:val="0"/>
                <w:sz w:val="24"/>
              </w:rPr>
            </w:pPr>
            <w:r>
              <w:rPr>
                <w:rFonts w:hint="eastAsia" w:eastAsia="方正黑体_GBK" w:cs="方正书宋_GBK"/>
                <w:color w:val="000000"/>
                <w:kern w:val="0"/>
                <w:sz w:val="24"/>
                <w:szCs w:val="24"/>
              </w:rPr>
              <w:t>医保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 w:cs="方正书宋_GBK"/>
                <w:color w:val="000000"/>
                <w:kern w:val="0"/>
                <w:sz w:val="24"/>
              </w:rPr>
            </w:pPr>
            <w:r>
              <w:rPr>
                <w:rFonts w:hint="eastAsia" w:eastAsia="方正黑体_GBK" w:cs="方正书宋_GBK"/>
                <w:color w:val="000000"/>
                <w:kern w:val="0"/>
                <w:sz w:val="24"/>
                <w:szCs w:val="24"/>
              </w:rPr>
              <w:t>属性</w:t>
            </w:r>
          </w:p>
        </w:tc>
        <w:tc>
          <w:tcPr>
            <w:tcW w:w="7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 w:cs="方正书宋_GBK"/>
                <w:color w:val="000000"/>
                <w:kern w:val="0"/>
                <w:sz w:val="24"/>
              </w:rPr>
            </w:pPr>
            <w:r>
              <w:rPr>
                <w:rFonts w:hint="eastAsia" w:eastAsia="方正黑体_GBK" w:cs="方正书宋_GBK"/>
                <w:color w:val="000000"/>
                <w:kern w:val="0"/>
                <w:sz w:val="24"/>
                <w:szCs w:val="24"/>
              </w:rPr>
              <w:t>医保报销限制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  <w:jc w:val="center"/>
        </w:trPr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250403088</w:t>
            </w:r>
          </w:p>
        </w:tc>
        <w:tc>
          <w:tcPr>
            <w:tcW w:w="5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新型冠状病毒核酸检测</w:t>
            </w:r>
          </w:p>
        </w:tc>
        <w:tc>
          <w:tcPr>
            <w:tcW w:w="8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样本类型：各种标本。样本采集、签收、处理（据标本类型不同进行相应的前处理），提取模板RNA</w:t>
            </w: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，与标准品、阴阳性对照及质控品同时进行实时荧光扩增，进行定量分析，判断并审核结果，录入实验室信息系统或人工登记，发送报告，按规定处理废弃物；接受临床相关咨询。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人份</w:t>
            </w:r>
          </w:p>
        </w:tc>
        <w:tc>
          <w:tcPr>
            <w:tcW w:w="4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00" w:lineRule="exact"/>
              <w:rPr>
                <w:rFonts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适用各种检测方法。项目政府指导价为各级公立医疗机构最高收费标准，公立医疗机构可以下浮执行。</w:t>
            </w:r>
          </w:p>
          <w:p>
            <w:pPr>
              <w:widowControl/>
              <w:spacing w:line="200" w:lineRule="exact"/>
              <w:rPr>
                <w:rFonts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．按照市卫生健康部门技术要求和标准实施混合检测的，每人次按不高于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元收费（含体外诊断试剂盒等耗材）。</w:t>
            </w:r>
          </w:p>
          <w:p>
            <w:pPr>
              <w:widowControl/>
              <w:spacing w:line="200" w:lineRule="exact"/>
              <w:rPr>
                <w:rFonts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医疗机构为单纯进行核酸检测（包括混检）的群众提供采样服务，群众无需挂号且不得收取门诊诊察费（含一般诊疗费）。</w:t>
            </w:r>
          </w:p>
        </w:tc>
        <w:tc>
          <w:tcPr>
            <w:tcW w:w="4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kern w:val="0"/>
                <w:sz w:val="18"/>
                <w:szCs w:val="18"/>
              </w:rPr>
              <w:t>甲类</w:t>
            </w:r>
          </w:p>
        </w:tc>
        <w:tc>
          <w:tcPr>
            <w:tcW w:w="7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限我市职工医保和居民医保参保人员新住院或在发热门诊治疗时，所接受的“新型冠状病毒核酸检测”予以报销，一次就诊限报一次；</w:t>
            </w: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2.医保全额报销。</w:t>
            </w:r>
          </w:p>
          <w:p>
            <w:pPr>
              <w:widowControl/>
              <w:spacing w:line="200" w:lineRule="exact"/>
              <w:rPr>
                <w:rFonts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250403088</w:t>
            </w:r>
            <w:r>
              <w:rPr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5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新型冠状病毒核酸检测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（多人</w:t>
            </w: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混检）</w:t>
            </w:r>
          </w:p>
        </w:tc>
        <w:tc>
          <w:tcPr>
            <w:tcW w:w="8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人份</w:t>
            </w:r>
          </w:p>
        </w:tc>
        <w:tc>
          <w:tcPr>
            <w:tcW w:w="4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kern w:val="0"/>
                <w:sz w:val="18"/>
                <w:szCs w:val="18"/>
              </w:rPr>
              <w:t>甲类</w:t>
            </w:r>
          </w:p>
        </w:tc>
        <w:tc>
          <w:tcPr>
            <w:tcW w:w="7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限我市职工医保和居民医保参保人员新住院或在发热门诊治疗时，所接受的“新型冠状病毒核酸检测”予以报销，一次就诊限报一次；</w:t>
            </w: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2.医保全额报销。</w:t>
            </w:r>
          </w:p>
        </w:tc>
      </w:tr>
    </w:tbl>
    <w:p>
      <w:pPr>
        <w:spacing w:line="600" w:lineRule="exact"/>
        <w:ind w:firstLine="640" w:firstLineChars="200"/>
        <w:jc w:val="left"/>
        <w:rPr>
          <w:rFonts w:eastAsia="方正仿宋_GBK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formProt w:val="1"/>
          <w:docGrid w:type="lines" w:linePitch="319" w:charSpace="0"/>
        </w:sectPr>
      </w:pPr>
    </w:p>
    <w:p/>
    <w:p>
      <w:pPr>
        <w:snapToGrid w:val="0"/>
        <w:spacing w:line="540" w:lineRule="exact"/>
        <w:rPr>
          <w:rFonts w:eastAsia="方正小标宋_GBK" w:cs="方正小标宋_GBK"/>
          <w:sz w:val="44"/>
          <w:szCs w:val="44"/>
        </w:rPr>
      </w:pPr>
    </w:p>
    <w:p>
      <w:pPr>
        <w:rPr>
          <w:rFonts w:ascii="方正仿宋_GBK" w:eastAsia="方正仿宋_GBK"/>
          <w:b/>
          <w:bCs/>
        </w:rPr>
      </w:pPr>
    </w:p>
    <w:p/>
    <w:p/>
    <w:p/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3"/>
        <w:snapToGrid w:val="0"/>
        <w:spacing w:line="144" w:lineRule="auto"/>
        <w:rPr>
          <w:rFonts w:eastAsia="方正仿宋_GBK" w:cs="方正仿宋_GBK"/>
          <w:sz w:val="32"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sz w:val="32"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sz w:val="32"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sz w:val="32"/>
        </w:rPr>
      </w:pPr>
    </w:p>
    <w:tbl>
      <w:tblPr>
        <w:tblStyle w:val="12"/>
        <w:tblW w:w="8835" w:type="dxa"/>
        <w:tblInd w:w="108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3"/>
        <w:gridCol w:w="252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58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600" w:lineRule="exact"/>
              <w:ind w:firstLine="280" w:firstLineChars="100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抄送：市发展改革委，市财政局，市卫生健康委，市市场监管局。</w:t>
            </w:r>
          </w:p>
        </w:tc>
        <w:tc>
          <w:tcPr>
            <w:tcW w:w="2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58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600" w:lineRule="exact"/>
              <w:ind w:firstLine="280" w:firstLineChars="100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重庆市医疗保障局办公室                2022年5月12日印发</w:t>
            </w:r>
          </w:p>
        </w:tc>
        <w:tc>
          <w:tcPr>
            <w:tcW w:w="2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rPr>
                <w:rFonts w:eastAsia="方正仿宋_GBK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vanish/>
        </w:rPr>
      </w:pPr>
    </w:p>
    <w:sectPr>
      <w:headerReference r:id="rId4" w:type="default"/>
      <w:footerReference r:id="rId5" w:type="default"/>
      <w:pgSz w:w="11906" w:h="16838"/>
      <w:pgMar w:top="2098" w:right="1474" w:bottom="1984" w:left="1588" w:header="851" w:footer="992" w:gutter="0"/>
      <w:pgNumType w:fmt="numberInDash"/>
      <w:cols w:space="0" w:num="1"/>
      <w:formProt w:val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- 3 -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pict>
        <v:shape id="_x0000_s4099" o:spid="_x0000_s409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Fonts w:eastAsiaTheme="minorEastAsia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 w:eastAsia="宋体"/>
        <w:sz w:val="28"/>
        <w:szCs w:val="28"/>
      </w:rPr>
    </w:pPr>
    <w:r>
      <w:rPr>
        <w:sz w:val="28"/>
      </w:rPr>
      <w:pict>
        <v:shape id="文本框 1037" o:spid="_x0000_s4098" o:spt="202" type="#_x0000_t202" style="position:absolute;left:0pt;margin-top:0pt;height:18.15pt;width:35.05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vOISfRAAAAAwEAAA8AAAAAAAAAAQAgAAAAIgAAAGRycy9kb3ducmV2LnhtbFBLAQIUABQA&#10;AAAIAIdO4kC1j2jh9wEAAMUDAAAOAAAAAAAAAAEAIAAAACABAABkcnMvZTJvRG9jLnhtbFBLBQYA&#10;AAAABgAGAFkBAACJ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- 4 -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rPr>
        <w:sz w:val="28"/>
      </w:rPr>
      <w:pict>
        <v:shape id="_x0000_s4097" o:spid="_x0000_s4097" o:spt="202" type="#_x0000_t202" style="position:absolute;left:0pt;margin-top:0pt;height:18.4pt;width:9.05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GbRgR0AAAAAMBAAAPAAAAAAAAAAEAIAAAACIAAABkcnMvZG93bnJldi54bWxQSwECFAAUAAAA&#10;CACHTuJA+SojFvYBAADFAwAADgAAAAAAAAABACAAAAAfAQAAZHJzL2Uyb0RvYy54bWxQSwUGAAAA&#10;AAYABgBZAQAAhw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tabs>
        <w:tab w:val="left" w:pos="1738"/>
        <w:tab w:val="clear" w:pos="4153"/>
      </w:tabs>
      <w:jc w:val="left"/>
    </w:pP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6382"/>
    <w:multiLevelType w:val="multilevel"/>
    <w:tmpl w:val="252D6382"/>
    <w:lvl w:ilvl="0" w:tentative="0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dit="forms" w:enforcement="1"/>
  <w:defaultTabStop w:val="420"/>
  <w:drawingGridHorizontalSpacing w:val="320"/>
  <w:drawingGridVerticalSpacing w:val="221"/>
  <w:displayVerticalDrawingGridEvery w:val="2"/>
  <w:noPunctuationKerning w:val="1"/>
  <w:characterSpacingControl w:val="compressPunctuation"/>
  <w:hdrShapeDefaults>
    <o:shapelayout v:ext="edit">
      <o:idmap v:ext="edit" data="1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JjNTI0ZTBkZTgwNjQwOWMyOWNkYTk0YWFiZGJmMGUifQ=="/>
  </w:docVars>
  <w:rsids>
    <w:rsidRoot w:val="007D2059"/>
    <w:rsid w:val="000021CC"/>
    <w:rsid w:val="00003C03"/>
    <w:rsid w:val="00013AA2"/>
    <w:rsid w:val="000151A0"/>
    <w:rsid w:val="00033299"/>
    <w:rsid w:val="0003438E"/>
    <w:rsid w:val="00046B11"/>
    <w:rsid w:val="0006362E"/>
    <w:rsid w:val="00082E4C"/>
    <w:rsid w:val="00084A46"/>
    <w:rsid w:val="00094947"/>
    <w:rsid w:val="000A1BAB"/>
    <w:rsid w:val="000A4018"/>
    <w:rsid w:val="000B5339"/>
    <w:rsid w:val="000C4E01"/>
    <w:rsid w:val="000C736E"/>
    <w:rsid w:val="000D381A"/>
    <w:rsid w:val="000E3441"/>
    <w:rsid w:val="000E4E46"/>
    <w:rsid w:val="000E5052"/>
    <w:rsid w:val="000F695F"/>
    <w:rsid w:val="0010069C"/>
    <w:rsid w:val="00101610"/>
    <w:rsid w:val="0011032B"/>
    <w:rsid w:val="00116AD0"/>
    <w:rsid w:val="00121DA4"/>
    <w:rsid w:val="00134C2F"/>
    <w:rsid w:val="001415B9"/>
    <w:rsid w:val="00156414"/>
    <w:rsid w:val="00160063"/>
    <w:rsid w:val="001624B8"/>
    <w:rsid w:val="00162995"/>
    <w:rsid w:val="001671AE"/>
    <w:rsid w:val="001711AE"/>
    <w:rsid w:val="00174D58"/>
    <w:rsid w:val="001803B1"/>
    <w:rsid w:val="00193F7E"/>
    <w:rsid w:val="00194730"/>
    <w:rsid w:val="001A7746"/>
    <w:rsid w:val="001A7CFE"/>
    <w:rsid w:val="001A7F93"/>
    <w:rsid w:val="001B3C93"/>
    <w:rsid w:val="001D083E"/>
    <w:rsid w:val="001E39DE"/>
    <w:rsid w:val="001E7BD1"/>
    <w:rsid w:val="001F06A7"/>
    <w:rsid w:val="001F0FFB"/>
    <w:rsid w:val="001F5572"/>
    <w:rsid w:val="002070D4"/>
    <w:rsid w:val="002071FE"/>
    <w:rsid w:val="00210821"/>
    <w:rsid w:val="0022067F"/>
    <w:rsid w:val="0022069F"/>
    <w:rsid w:val="00222F4E"/>
    <w:rsid w:val="00232287"/>
    <w:rsid w:val="0024090C"/>
    <w:rsid w:val="00246438"/>
    <w:rsid w:val="002606F5"/>
    <w:rsid w:val="00260F9F"/>
    <w:rsid w:val="002A0340"/>
    <w:rsid w:val="002A58DE"/>
    <w:rsid w:val="002A7724"/>
    <w:rsid w:val="002A77D4"/>
    <w:rsid w:val="002B5A9A"/>
    <w:rsid w:val="002B76F6"/>
    <w:rsid w:val="002C5B13"/>
    <w:rsid w:val="002D2A95"/>
    <w:rsid w:val="002D701B"/>
    <w:rsid w:val="002E1AD2"/>
    <w:rsid w:val="002E24A1"/>
    <w:rsid w:val="002F09B6"/>
    <w:rsid w:val="002F2BCF"/>
    <w:rsid w:val="00306F67"/>
    <w:rsid w:val="00317E57"/>
    <w:rsid w:val="00324FF4"/>
    <w:rsid w:val="0033344A"/>
    <w:rsid w:val="0034452E"/>
    <w:rsid w:val="00363154"/>
    <w:rsid w:val="00364D19"/>
    <w:rsid w:val="003751AE"/>
    <w:rsid w:val="00386D73"/>
    <w:rsid w:val="003A5E95"/>
    <w:rsid w:val="003B50BF"/>
    <w:rsid w:val="003C5061"/>
    <w:rsid w:val="003E22B9"/>
    <w:rsid w:val="003F2763"/>
    <w:rsid w:val="00401B75"/>
    <w:rsid w:val="00402AA6"/>
    <w:rsid w:val="00424448"/>
    <w:rsid w:val="00426C7B"/>
    <w:rsid w:val="00426CC8"/>
    <w:rsid w:val="004276DE"/>
    <w:rsid w:val="00430D4C"/>
    <w:rsid w:val="00431DEE"/>
    <w:rsid w:val="00432468"/>
    <w:rsid w:val="00435036"/>
    <w:rsid w:val="004410BD"/>
    <w:rsid w:val="0044196B"/>
    <w:rsid w:val="004543F1"/>
    <w:rsid w:val="00473C53"/>
    <w:rsid w:val="00473D40"/>
    <w:rsid w:val="00480A50"/>
    <w:rsid w:val="00491253"/>
    <w:rsid w:val="004A175D"/>
    <w:rsid w:val="004B4220"/>
    <w:rsid w:val="004C1911"/>
    <w:rsid w:val="004D199C"/>
    <w:rsid w:val="004D418D"/>
    <w:rsid w:val="004D5FAC"/>
    <w:rsid w:val="004E092E"/>
    <w:rsid w:val="004E4E81"/>
    <w:rsid w:val="004E703F"/>
    <w:rsid w:val="005023A4"/>
    <w:rsid w:val="00510D0D"/>
    <w:rsid w:val="00513FF4"/>
    <w:rsid w:val="00535293"/>
    <w:rsid w:val="00556781"/>
    <w:rsid w:val="0056025F"/>
    <w:rsid w:val="00562F92"/>
    <w:rsid w:val="0058597A"/>
    <w:rsid w:val="0059785C"/>
    <w:rsid w:val="005A03F7"/>
    <w:rsid w:val="005A1D0E"/>
    <w:rsid w:val="005A61B2"/>
    <w:rsid w:val="005B7E1D"/>
    <w:rsid w:val="005C4DE5"/>
    <w:rsid w:val="005C68BE"/>
    <w:rsid w:val="005C771B"/>
    <w:rsid w:val="005C7CF3"/>
    <w:rsid w:val="005D2EA6"/>
    <w:rsid w:val="005D48EF"/>
    <w:rsid w:val="005E77AD"/>
    <w:rsid w:val="005F6952"/>
    <w:rsid w:val="00606FBB"/>
    <w:rsid w:val="006120FB"/>
    <w:rsid w:val="00627600"/>
    <w:rsid w:val="00652BFE"/>
    <w:rsid w:val="00657AD5"/>
    <w:rsid w:val="006604A3"/>
    <w:rsid w:val="006643F1"/>
    <w:rsid w:val="0066479A"/>
    <w:rsid w:val="0067058D"/>
    <w:rsid w:val="00677D78"/>
    <w:rsid w:val="006862FB"/>
    <w:rsid w:val="006A3079"/>
    <w:rsid w:val="006A5A51"/>
    <w:rsid w:val="006A5B81"/>
    <w:rsid w:val="006B1E25"/>
    <w:rsid w:val="006B4314"/>
    <w:rsid w:val="006B5C91"/>
    <w:rsid w:val="006C3064"/>
    <w:rsid w:val="006E206D"/>
    <w:rsid w:val="006E41E3"/>
    <w:rsid w:val="006E6C55"/>
    <w:rsid w:val="007225A1"/>
    <w:rsid w:val="00731C2F"/>
    <w:rsid w:val="0073488C"/>
    <w:rsid w:val="0074234B"/>
    <w:rsid w:val="00750AF8"/>
    <w:rsid w:val="00752371"/>
    <w:rsid w:val="0075491C"/>
    <w:rsid w:val="0076050D"/>
    <w:rsid w:val="007705D9"/>
    <w:rsid w:val="007735D8"/>
    <w:rsid w:val="007811A8"/>
    <w:rsid w:val="00786CE2"/>
    <w:rsid w:val="007A7E06"/>
    <w:rsid w:val="007C4CE2"/>
    <w:rsid w:val="007D2059"/>
    <w:rsid w:val="007D40AE"/>
    <w:rsid w:val="007E36B2"/>
    <w:rsid w:val="007E71AE"/>
    <w:rsid w:val="008040DC"/>
    <w:rsid w:val="0082135B"/>
    <w:rsid w:val="0082359D"/>
    <w:rsid w:val="008315C9"/>
    <w:rsid w:val="00833943"/>
    <w:rsid w:val="00835CBD"/>
    <w:rsid w:val="008539C7"/>
    <w:rsid w:val="00871D6E"/>
    <w:rsid w:val="00877A16"/>
    <w:rsid w:val="008810C9"/>
    <w:rsid w:val="008854F8"/>
    <w:rsid w:val="00891D18"/>
    <w:rsid w:val="00892839"/>
    <w:rsid w:val="00896438"/>
    <w:rsid w:val="00897D16"/>
    <w:rsid w:val="008A47EE"/>
    <w:rsid w:val="008B60A2"/>
    <w:rsid w:val="008C7349"/>
    <w:rsid w:val="008F359E"/>
    <w:rsid w:val="00904AFE"/>
    <w:rsid w:val="00905D46"/>
    <w:rsid w:val="0091012C"/>
    <w:rsid w:val="00922E66"/>
    <w:rsid w:val="00926266"/>
    <w:rsid w:val="00952E0A"/>
    <w:rsid w:val="0095387D"/>
    <w:rsid w:val="00953C3A"/>
    <w:rsid w:val="00961EC9"/>
    <w:rsid w:val="00970C07"/>
    <w:rsid w:val="00971B1E"/>
    <w:rsid w:val="00977E7F"/>
    <w:rsid w:val="0098401D"/>
    <w:rsid w:val="00994629"/>
    <w:rsid w:val="009949E9"/>
    <w:rsid w:val="009A160B"/>
    <w:rsid w:val="009A5ACA"/>
    <w:rsid w:val="009A60A1"/>
    <w:rsid w:val="009C01D0"/>
    <w:rsid w:val="009C291A"/>
    <w:rsid w:val="009D0FEA"/>
    <w:rsid w:val="009F60A5"/>
    <w:rsid w:val="00A00BB0"/>
    <w:rsid w:val="00A07C08"/>
    <w:rsid w:val="00A30B59"/>
    <w:rsid w:val="00A44538"/>
    <w:rsid w:val="00A45045"/>
    <w:rsid w:val="00A5276F"/>
    <w:rsid w:val="00A75095"/>
    <w:rsid w:val="00A804F4"/>
    <w:rsid w:val="00A82FB4"/>
    <w:rsid w:val="00AA2570"/>
    <w:rsid w:val="00AA5ECA"/>
    <w:rsid w:val="00AC7B76"/>
    <w:rsid w:val="00AD7C69"/>
    <w:rsid w:val="00AE25CC"/>
    <w:rsid w:val="00AE35C7"/>
    <w:rsid w:val="00AE49F5"/>
    <w:rsid w:val="00AF3A47"/>
    <w:rsid w:val="00B07EA7"/>
    <w:rsid w:val="00B21414"/>
    <w:rsid w:val="00B438CD"/>
    <w:rsid w:val="00B707A5"/>
    <w:rsid w:val="00B76F88"/>
    <w:rsid w:val="00B8627A"/>
    <w:rsid w:val="00B86CD3"/>
    <w:rsid w:val="00BA5E11"/>
    <w:rsid w:val="00BC3D67"/>
    <w:rsid w:val="00BD07A2"/>
    <w:rsid w:val="00BE0497"/>
    <w:rsid w:val="00BE09CF"/>
    <w:rsid w:val="00BF231C"/>
    <w:rsid w:val="00BF2877"/>
    <w:rsid w:val="00BF7ED6"/>
    <w:rsid w:val="00C13E55"/>
    <w:rsid w:val="00C20144"/>
    <w:rsid w:val="00C243A5"/>
    <w:rsid w:val="00C2451B"/>
    <w:rsid w:val="00C30F04"/>
    <w:rsid w:val="00C30F9D"/>
    <w:rsid w:val="00C33521"/>
    <w:rsid w:val="00C51253"/>
    <w:rsid w:val="00C57DBB"/>
    <w:rsid w:val="00C63D26"/>
    <w:rsid w:val="00C71800"/>
    <w:rsid w:val="00C82098"/>
    <w:rsid w:val="00CA148B"/>
    <w:rsid w:val="00CA3324"/>
    <w:rsid w:val="00CA459D"/>
    <w:rsid w:val="00CA6855"/>
    <w:rsid w:val="00CC1CF4"/>
    <w:rsid w:val="00CC7B99"/>
    <w:rsid w:val="00CE3CC6"/>
    <w:rsid w:val="00CE7D93"/>
    <w:rsid w:val="00CF4412"/>
    <w:rsid w:val="00D157BB"/>
    <w:rsid w:val="00D51E7A"/>
    <w:rsid w:val="00D70947"/>
    <w:rsid w:val="00D946BF"/>
    <w:rsid w:val="00DB171F"/>
    <w:rsid w:val="00DB7DDD"/>
    <w:rsid w:val="00DC2A01"/>
    <w:rsid w:val="00DD088B"/>
    <w:rsid w:val="00DE5520"/>
    <w:rsid w:val="00DE6F7B"/>
    <w:rsid w:val="00DE785C"/>
    <w:rsid w:val="00E15123"/>
    <w:rsid w:val="00E16DDB"/>
    <w:rsid w:val="00E316AA"/>
    <w:rsid w:val="00E34939"/>
    <w:rsid w:val="00E4039A"/>
    <w:rsid w:val="00E51B1F"/>
    <w:rsid w:val="00E53B10"/>
    <w:rsid w:val="00E635D4"/>
    <w:rsid w:val="00E66391"/>
    <w:rsid w:val="00E70DCE"/>
    <w:rsid w:val="00E76A3D"/>
    <w:rsid w:val="00E76B6D"/>
    <w:rsid w:val="00E837AC"/>
    <w:rsid w:val="00EA0EDA"/>
    <w:rsid w:val="00EC5F4E"/>
    <w:rsid w:val="00ED7EC6"/>
    <w:rsid w:val="00EE0DB2"/>
    <w:rsid w:val="00EF6178"/>
    <w:rsid w:val="00F01EC9"/>
    <w:rsid w:val="00F05682"/>
    <w:rsid w:val="00F0587C"/>
    <w:rsid w:val="00F108B1"/>
    <w:rsid w:val="00F131B4"/>
    <w:rsid w:val="00F152FF"/>
    <w:rsid w:val="00F37803"/>
    <w:rsid w:val="00F4296D"/>
    <w:rsid w:val="00F55D89"/>
    <w:rsid w:val="00F56B3C"/>
    <w:rsid w:val="00F5714E"/>
    <w:rsid w:val="00F72562"/>
    <w:rsid w:val="00F801BA"/>
    <w:rsid w:val="00F828AC"/>
    <w:rsid w:val="00F96D69"/>
    <w:rsid w:val="00FA7F10"/>
    <w:rsid w:val="00FB234D"/>
    <w:rsid w:val="00FB6E8B"/>
    <w:rsid w:val="00FC3F77"/>
    <w:rsid w:val="00FD4C98"/>
    <w:rsid w:val="00FD6D6A"/>
    <w:rsid w:val="00FE0140"/>
    <w:rsid w:val="012120EA"/>
    <w:rsid w:val="01AB0EEA"/>
    <w:rsid w:val="021155E1"/>
    <w:rsid w:val="02381CF9"/>
    <w:rsid w:val="02441991"/>
    <w:rsid w:val="025517B2"/>
    <w:rsid w:val="025E71FE"/>
    <w:rsid w:val="037215C4"/>
    <w:rsid w:val="03E94935"/>
    <w:rsid w:val="05950F8D"/>
    <w:rsid w:val="070048D5"/>
    <w:rsid w:val="07067916"/>
    <w:rsid w:val="076957C2"/>
    <w:rsid w:val="07EC6E0C"/>
    <w:rsid w:val="084753E6"/>
    <w:rsid w:val="0914781F"/>
    <w:rsid w:val="0918084D"/>
    <w:rsid w:val="09885F51"/>
    <w:rsid w:val="09B43962"/>
    <w:rsid w:val="0BB13BB7"/>
    <w:rsid w:val="0C54147B"/>
    <w:rsid w:val="0CCB7D8E"/>
    <w:rsid w:val="0D8B1353"/>
    <w:rsid w:val="0FFE7C90"/>
    <w:rsid w:val="1079076C"/>
    <w:rsid w:val="114756A5"/>
    <w:rsid w:val="11531582"/>
    <w:rsid w:val="11E8226D"/>
    <w:rsid w:val="123A777F"/>
    <w:rsid w:val="132574D5"/>
    <w:rsid w:val="1357521D"/>
    <w:rsid w:val="14337333"/>
    <w:rsid w:val="144A63DE"/>
    <w:rsid w:val="16C246E7"/>
    <w:rsid w:val="17C024B6"/>
    <w:rsid w:val="19296EF8"/>
    <w:rsid w:val="1968378C"/>
    <w:rsid w:val="1A07593B"/>
    <w:rsid w:val="1A5A741F"/>
    <w:rsid w:val="1AC44166"/>
    <w:rsid w:val="1ADC51BC"/>
    <w:rsid w:val="1B2F2EA0"/>
    <w:rsid w:val="1B405FB2"/>
    <w:rsid w:val="1B633972"/>
    <w:rsid w:val="1DBD3183"/>
    <w:rsid w:val="1DC13E8E"/>
    <w:rsid w:val="1DF4732F"/>
    <w:rsid w:val="1E2F6BFE"/>
    <w:rsid w:val="1EB406AA"/>
    <w:rsid w:val="1EFC6426"/>
    <w:rsid w:val="20224B82"/>
    <w:rsid w:val="208507EF"/>
    <w:rsid w:val="2095338A"/>
    <w:rsid w:val="2105730F"/>
    <w:rsid w:val="221727AE"/>
    <w:rsid w:val="236013BA"/>
    <w:rsid w:val="23FD601C"/>
    <w:rsid w:val="24002D3E"/>
    <w:rsid w:val="24D07B88"/>
    <w:rsid w:val="264D363D"/>
    <w:rsid w:val="26FD574A"/>
    <w:rsid w:val="28F44D1D"/>
    <w:rsid w:val="292350F4"/>
    <w:rsid w:val="29B31962"/>
    <w:rsid w:val="2A3254C2"/>
    <w:rsid w:val="2A3A7AF4"/>
    <w:rsid w:val="2B853FFF"/>
    <w:rsid w:val="2B854C48"/>
    <w:rsid w:val="2C7A0633"/>
    <w:rsid w:val="2CAB7D6F"/>
    <w:rsid w:val="2CD312C2"/>
    <w:rsid w:val="2D994A76"/>
    <w:rsid w:val="2DAF1830"/>
    <w:rsid w:val="2DF55E02"/>
    <w:rsid w:val="2E9F6689"/>
    <w:rsid w:val="2F445C6B"/>
    <w:rsid w:val="2F721FF0"/>
    <w:rsid w:val="2FE63A04"/>
    <w:rsid w:val="31020ECE"/>
    <w:rsid w:val="31F02ED7"/>
    <w:rsid w:val="32181435"/>
    <w:rsid w:val="32D7682A"/>
    <w:rsid w:val="330B5CD8"/>
    <w:rsid w:val="33335FBA"/>
    <w:rsid w:val="333804B8"/>
    <w:rsid w:val="334F0E91"/>
    <w:rsid w:val="34110AC2"/>
    <w:rsid w:val="34F950A0"/>
    <w:rsid w:val="35127F1A"/>
    <w:rsid w:val="36CD1A46"/>
    <w:rsid w:val="38021F9B"/>
    <w:rsid w:val="39885C97"/>
    <w:rsid w:val="3A2C643A"/>
    <w:rsid w:val="3B117CE4"/>
    <w:rsid w:val="3B2D0AC8"/>
    <w:rsid w:val="3CD16A8F"/>
    <w:rsid w:val="3DED3659"/>
    <w:rsid w:val="3E2D13C0"/>
    <w:rsid w:val="3ED05151"/>
    <w:rsid w:val="40450D0B"/>
    <w:rsid w:val="40664098"/>
    <w:rsid w:val="4118065B"/>
    <w:rsid w:val="41BD7918"/>
    <w:rsid w:val="41C457D9"/>
    <w:rsid w:val="424E1501"/>
    <w:rsid w:val="42F651DF"/>
    <w:rsid w:val="435F45BF"/>
    <w:rsid w:val="439B0296"/>
    <w:rsid w:val="442F1979"/>
    <w:rsid w:val="44A57506"/>
    <w:rsid w:val="45706BA0"/>
    <w:rsid w:val="462209E8"/>
    <w:rsid w:val="466A111A"/>
    <w:rsid w:val="4706389A"/>
    <w:rsid w:val="486024E4"/>
    <w:rsid w:val="49CE4388"/>
    <w:rsid w:val="4A8973CF"/>
    <w:rsid w:val="4AE96240"/>
    <w:rsid w:val="4AFC7E5B"/>
    <w:rsid w:val="4B5A7195"/>
    <w:rsid w:val="4BD434FE"/>
    <w:rsid w:val="4C4706A2"/>
    <w:rsid w:val="4C843B13"/>
    <w:rsid w:val="4D26576E"/>
    <w:rsid w:val="4FB44B8E"/>
    <w:rsid w:val="50100E41"/>
    <w:rsid w:val="514D6AF1"/>
    <w:rsid w:val="51BF1041"/>
    <w:rsid w:val="51D448DF"/>
    <w:rsid w:val="52CA27DA"/>
    <w:rsid w:val="52FC793E"/>
    <w:rsid w:val="534E478B"/>
    <w:rsid w:val="53EF20D7"/>
    <w:rsid w:val="545A5A48"/>
    <w:rsid w:val="54A7336D"/>
    <w:rsid w:val="550B4BAD"/>
    <w:rsid w:val="56F4369F"/>
    <w:rsid w:val="575B66FE"/>
    <w:rsid w:val="57855D92"/>
    <w:rsid w:val="579B5BB6"/>
    <w:rsid w:val="5955478B"/>
    <w:rsid w:val="5AA50FB7"/>
    <w:rsid w:val="5ABA2045"/>
    <w:rsid w:val="5B463F7E"/>
    <w:rsid w:val="5B5D036D"/>
    <w:rsid w:val="5C3418D5"/>
    <w:rsid w:val="5F10323B"/>
    <w:rsid w:val="616C0D43"/>
    <w:rsid w:val="61A637F2"/>
    <w:rsid w:val="61D811B2"/>
    <w:rsid w:val="62D23C0D"/>
    <w:rsid w:val="62D83631"/>
    <w:rsid w:val="62F07BBD"/>
    <w:rsid w:val="63187BEE"/>
    <w:rsid w:val="63207A81"/>
    <w:rsid w:val="63C94BAA"/>
    <w:rsid w:val="64461E53"/>
    <w:rsid w:val="646255DF"/>
    <w:rsid w:val="64DC200C"/>
    <w:rsid w:val="6507699D"/>
    <w:rsid w:val="659D1143"/>
    <w:rsid w:val="65B41EFD"/>
    <w:rsid w:val="65F85279"/>
    <w:rsid w:val="662B4C75"/>
    <w:rsid w:val="6685660E"/>
    <w:rsid w:val="67887E6E"/>
    <w:rsid w:val="6813133D"/>
    <w:rsid w:val="68C717DE"/>
    <w:rsid w:val="697A06DC"/>
    <w:rsid w:val="6A956AC6"/>
    <w:rsid w:val="6CB5381A"/>
    <w:rsid w:val="6D2140D5"/>
    <w:rsid w:val="6DDD337E"/>
    <w:rsid w:val="6E1E6AFD"/>
    <w:rsid w:val="6FC65ADB"/>
    <w:rsid w:val="6FD138EF"/>
    <w:rsid w:val="71315E0C"/>
    <w:rsid w:val="7139185E"/>
    <w:rsid w:val="727F6D42"/>
    <w:rsid w:val="72B90ED5"/>
    <w:rsid w:val="72E86363"/>
    <w:rsid w:val="735A5633"/>
    <w:rsid w:val="73B6418E"/>
    <w:rsid w:val="73B715EA"/>
    <w:rsid w:val="73FD347F"/>
    <w:rsid w:val="74013D68"/>
    <w:rsid w:val="741E0C47"/>
    <w:rsid w:val="754176A5"/>
    <w:rsid w:val="75C44DCE"/>
    <w:rsid w:val="770F4479"/>
    <w:rsid w:val="7806177E"/>
    <w:rsid w:val="780D4995"/>
    <w:rsid w:val="78962201"/>
    <w:rsid w:val="78B16511"/>
    <w:rsid w:val="78DE2C63"/>
    <w:rsid w:val="79596BC4"/>
    <w:rsid w:val="79DA08FC"/>
    <w:rsid w:val="79FA3B7B"/>
    <w:rsid w:val="7AA358B2"/>
    <w:rsid w:val="7AB53E5F"/>
    <w:rsid w:val="7BF950F8"/>
    <w:rsid w:val="7D351262"/>
    <w:rsid w:val="7E30247C"/>
    <w:rsid w:val="7F1B427F"/>
    <w:rsid w:val="7F3074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31"/>
    <w:qFormat/>
    <w:uiPriority w:val="0"/>
    <w:pPr>
      <w:jc w:val="center"/>
    </w:pPr>
    <w:rPr>
      <w:b/>
      <w:color w:val="FF0000"/>
      <w:sz w:val="44"/>
    </w:r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9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/>
      <w:b/>
      <w:bCs/>
      <w:kern w:val="28"/>
    </w:rPr>
  </w:style>
  <w:style w:type="paragraph" w:styleId="9">
    <w:name w:val="HTML Preformatted"/>
    <w:basedOn w:val="1"/>
    <w:link w:val="2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/>
      <w:kern w:val="0"/>
      <w:sz w:val="24"/>
      <w:szCs w:val="24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/>
      <w:sz w:val="24"/>
    </w:rPr>
  </w:style>
  <w:style w:type="paragraph" w:styleId="11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等线 Light" w:hAnsi="等线 Light" w:eastAsia="等线 Light"/>
      <w:b/>
      <w:bCs/>
      <w:kern w:val="0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日期 Char"/>
    <w:link w:val="4"/>
    <w:qFormat/>
    <w:uiPriority w:val="0"/>
    <w:rPr>
      <w:rFonts w:eastAsia="仿宋_GB2312"/>
      <w:kern w:val="2"/>
      <w:sz w:val="32"/>
      <w:szCs w:val="32"/>
    </w:rPr>
  </w:style>
  <w:style w:type="character" w:customStyle="1" w:styleId="18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副标题 Char"/>
    <w:link w:val="8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0">
    <w:name w:val="HTML 预设格式 Char"/>
    <w:link w:val="9"/>
    <w:qFormat/>
    <w:uiPriority w:val="99"/>
    <w:rPr>
      <w:rFonts w:ascii="宋体" w:hAnsi="宋体" w:cs="宋体"/>
      <w:sz w:val="24"/>
      <w:szCs w:val="24"/>
    </w:rPr>
  </w:style>
  <w:style w:type="character" w:customStyle="1" w:styleId="21">
    <w:name w:val="页脚 Char"/>
    <w:link w:val="6"/>
    <w:qFormat/>
    <w:uiPriority w:val="99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22">
    <w:name w:val="font21"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23">
    <w:name w:val="页眉 Char"/>
    <w:link w:val="7"/>
    <w:qFormat/>
    <w:uiPriority w:val="99"/>
    <w:rPr>
      <w:rFonts w:eastAsia="仿宋_GB2312"/>
      <w:kern w:val="2"/>
      <w:sz w:val="18"/>
      <w:szCs w:val="18"/>
    </w:rPr>
  </w:style>
  <w:style w:type="character" w:customStyle="1" w:styleId="24">
    <w:name w:val="font3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5">
    <w:name w:val="Char Char1"/>
    <w:qFormat/>
    <w:uiPriority w:val="0"/>
    <w:rPr>
      <w:rFonts w:eastAsia="仿宋_GB2312"/>
      <w:kern w:val="2"/>
      <w:sz w:val="18"/>
      <w:lang w:val="en-US" w:eastAsia="zh-CN" w:bidi="ar-SA"/>
    </w:rPr>
  </w:style>
  <w:style w:type="paragraph" w:customStyle="1" w:styleId="26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27">
    <w:name w:val="默认段落字体 Para Char Char Char Char Char Char Char Char Char Char"/>
    <w:basedOn w:val="1"/>
    <w:qFormat/>
    <w:uiPriority w:val="0"/>
    <w:rPr>
      <w:rFonts w:ascii="Arial" w:hAnsi="Arial" w:eastAsia="宋体" w:cs="Arial"/>
      <w:sz w:val="20"/>
      <w:szCs w:val="20"/>
    </w:rPr>
  </w:style>
  <w:style w:type="paragraph" w:customStyle="1" w:styleId="28">
    <w:name w:val="列出段落2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29">
    <w:name w:val="Char Char Char Char Char Char Char Char Char Char Char Char Char Char Char Char Char Char Char Char Char Char"/>
    <w:basedOn w:val="1"/>
    <w:qFormat/>
    <w:uiPriority w:val="0"/>
    <w:rPr>
      <w:rFonts w:eastAsia="宋体"/>
      <w:sz w:val="21"/>
      <w:szCs w:val="20"/>
    </w:rPr>
  </w:style>
  <w:style w:type="paragraph" w:customStyle="1" w:styleId="30">
    <w:name w:val="Char Char Char Char Char Char Char Char Char"/>
    <w:basedOn w:val="1"/>
    <w:qFormat/>
    <w:uiPriority w:val="0"/>
    <w:rPr>
      <w:rFonts w:ascii="Arial" w:hAnsi="Arial" w:cs="Arial"/>
      <w:sz w:val="20"/>
      <w:szCs w:val="20"/>
    </w:rPr>
  </w:style>
  <w:style w:type="character" w:customStyle="1" w:styleId="31">
    <w:name w:val="正文文本 Char"/>
    <w:link w:val="3"/>
    <w:qFormat/>
    <w:uiPriority w:val="0"/>
    <w:rPr>
      <w:rFonts w:eastAsia="仿宋_GB2312"/>
      <w:b/>
      <w:color w:val="FF0000"/>
      <w:kern w:val="2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4099"/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1265</Words>
  <Characters>164</Characters>
  <Lines>1</Lines>
  <Paragraphs>2</Paragraphs>
  <TotalTime>20</TotalTime>
  <ScaleCrop>false</ScaleCrop>
  <LinksUpToDate>false</LinksUpToDate>
  <CharactersWithSpaces>1427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2020-12-16T02:07:00Z</dcterms:created>
  <dc:creator>霍丹</dc:creator>
  <cp:lastModifiedBy>周召林</cp:lastModifiedBy>
  <cp:lastPrinted>2022-05-12T06:18:00Z</cp:lastPrinted>
  <dcterms:modified xsi:type="dcterms:W3CDTF">2022-05-18T00:14:12Z</dcterms:modified>
  <dc:title>重庆市人力资源和社会保障局文件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B42B1E699692474E918FF20947119A7D</vt:lpwstr>
  </property>
</Properties>
</file>