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70" w:lineRule="exact"/>
        <w:jc w:val="center"/>
        <w:rPr>
          <w:rFonts w:ascii="Times New Roman" w:hAnsi="Times New Roman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</w:rPr>
        <w:t>忠县保障性住房配售管理实施指引</w:t>
      </w:r>
    </w:p>
    <w:p>
      <w:pPr>
        <w:widowControl/>
        <w:spacing w:line="570" w:lineRule="exact"/>
        <w:jc w:val="center"/>
        <w:rPr>
          <w:rFonts w:ascii="Times New Roman" w:hAnsi="Times New Roman" w:eastAsia="方正小标宋_GBK" w:cs="方正小标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（试行）</w:t>
      </w:r>
    </w:p>
    <w:p>
      <w:pPr>
        <w:widowControl/>
        <w:spacing w:line="570" w:lineRule="exact"/>
        <w:jc w:val="left"/>
        <w:rPr>
          <w:rFonts w:ascii="Times New Roman" w:hAnsi="Times New Roman" w:eastAsia="方正小标宋_GBK" w:cs="方正小标宋_GBK"/>
          <w:color w:val="000000"/>
          <w:kern w:val="0"/>
          <w:sz w:val="44"/>
          <w:szCs w:val="44"/>
        </w:rPr>
      </w:pP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根据《国务院关于规划建设保障性住房的指导意见》（国发〔</w:t>
      </w:r>
      <w:r>
        <w:rPr>
          <w:rFonts w:ascii="Times New Roman" w:hAnsi="Times New Roman"/>
          <w:color w:val="000000"/>
          <w:kern w:val="0"/>
          <w:sz w:val="32"/>
          <w:szCs w:val="32"/>
        </w:rPr>
        <w:t>2023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〕</w:t>
      </w:r>
      <w:r>
        <w:rPr>
          <w:rFonts w:ascii="Times New Roman" w:hAnsi="Times New Roman"/>
          <w:color w:val="000000"/>
          <w:kern w:val="0"/>
          <w:sz w:val="32"/>
          <w:szCs w:val="32"/>
        </w:rPr>
        <w:t>14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号）、《重庆市规划建设保障性住房实施方案》（渝府发〔</w:t>
      </w:r>
      <w:r>
        <w:rPr>
          <w:rFonts w:ascii="Times New Roman" w:hAnsi="Times New Roman"/>
          <w:color w:val="000000"/>
          <w:kern w:val="0"/>
          <w:sz w:val="32"/>
          <w:szCs w:val="32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〕</w:t>
      </w:r>
      <w:r>
        <w:rPr>
          <w:rFonts w:ascii="Times New Roman" w:hAnsi="Times New Roman"/>
          <w:color w:val="000000"/>
          <w:kern w:val="0"/>
          <w:sz w:val="32"/>
          <w:szCs w:val="32"/>
        </w:rPr>
        <w:t>12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号）、《重庆市保障性住房配售管理办法（试行）》（渝建住保〔</w:t>
      </w:r>
      <w:r>
        <w:rPr>
          <w:rFonts w:ascii="Times New Roman" w:hAnsi="Times New Roman"/>
          <w:color w:val="000000"/>
          <w:kern w:val="0"/>
          <w:sz w:val="32"/>
          <w:szCs w:val="32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〕</w:t>
      </w:r>
      <w:r>
        <w:rPr>
          <w:rFonts w:ascii="Times New Roman" w:hAnsi="Times New Roman"/>
          <w:color w:val="000000"/>
          <w:kern w:val="0"/>
          <w:sz w:val="32"/>
          <w:szCs w:val="32"/>
        </w:rPr>
        <w:t>6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号）要求，结合我县实际，制定本指引。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</w:rPr>
        <w:t>一、申购管理</w:t>
      </w:r>
    </w:p>
    <w:p>
      <w:pPr>
        <w:widowControl/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方正楷体_GBK" w:cs="方正楷体_GBK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（一）</w:t>
      </w:r>
      <w:r>
        <w:rPr>
          <w:rFonts w:hint="eastAsia" w:ascii="Times New Roman" w:hAnsi="Times New Roman" w:eastAsia="方正楷体_GBK" w:cs="方正楷体_GBK"/>
          <w:color w:val="000000"/>
          <w:kern w:val="0"/>
          <w:sz w:val="31"/>
          <w:szCs w:val="31"/>
        </w:rPr>
        <w:t>申请条件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保障对象重点针对住房有困难的城镇地区户籍家庭、本地工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作人员和各类人才等工薪收入群体。申购人符合下列条件之一的，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可申请购买保障性住房：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1.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申购人为我县城镇户籍居民，具备完全民事行为能力，申购家庭在规定区域无住房或人均住房建筑面积低于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25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平方米。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申购人在我县工作，自申请之日前已在我县足额连续缴纳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6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个月以上的城镇职工基本养老保险，且在正常参保状态；申购家庭在规定区域无住房或人均住房建筑面积低于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25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平方米。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3.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申购人为市级或我县人才管理部门认定的人才，申购家庭在规定区域无住房或人均住房建筑面积低于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 xml:space="preserve"> 25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平方米。</w:t>
      </w:r>
    </w:p>
    <w:p>
      <w:pPr>
        <w:widowControl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无住房是指申购家庭成员在规定区域均无产权住房（不含农村集体所有土地上的住房）。申购家庭住房核查的规定区域范围为忠县。家庭人均住房建筑面积计算公式：人均住房建筑面积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=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住房建筑面积÷申购家庭人数，在核查范围内有多处住房的，建筑面积合并计算。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申购人组建家庭的，应当以家庭为单位申购保障性住房，申购人配偶、未满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18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周岁的子女作为共同申请的家庭成员。未满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18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周岁的子女作为申购家庭成员的，不影响其成年后享受保障性住房申购政策。年满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18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周岁的子女和其他具有法定赡养、抚养、扶养关系的共同生活人员可自愿选择是否作为共同申购人，选择作为共同申购人的，视为已享受保障性住房申购政策。达到法定结婚年龄的单身人士可以</w:t>
      </w:r>
      <w:bookmarkStart w:id="0" w:name="_GoBack"/>
      <w:bookmarkEnd w:id="0"/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人申购。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一个家庭只能购买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套保障性住房，购买后不再享受公有住房、公租房等政策性住房。保障对象中已享受过经济适用住房、公有住房、公租房等政策性住房的家庭，应按规定腾退原政策性住房。申购人及其共同申购人取得保障性住房后，不得再次申购保障性住房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ascii="Times New Roman" w:hAnsi="Times New Roman" w:eastAsia="方正黑体_GBK" w:cs="方正黑体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申购面积遵循保基本原则，结合具体项目实际，按照申购家庭人员确定购买房屋面积（人均面积约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30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平方米）。</w:t>
      </w:r>
    </w:p>
    <w:p>
      <w:pPr>
        <w:widowControl/>
        <w:ind w:firstLine="480" w:firstLineChars="150"/>
        <w:jc w:val="left"/>
        <w:rPr>
          <w:rFonts w:ascii="Times New Roman" w:hAnsi="Times New Roman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（二）申请方式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符合申购条件的家庭，可通过保障性住房管理服务平台或政务服务点提交申购意愿，填报申购家庭基本情况信息，选择意向购买住房面积和户型等。县住房城乡建委对意向申购家庭进行信息核对，建立轮候库，进入轮候库的申购家庭应每两年对填报的申购信息进行确认，未确认的经公示后取消轮候资格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线上申请路径：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申请人下载“渝快办”手机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APP——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打开“渝快办”手机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APP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，在顶部搜索栏搜索“渝悦安居”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——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点击“渝悦安居”应用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——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点击“保障一件事”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——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点击“保障性住房配售服务”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——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</w:rPr>
        <w:t>点击“轮候资格申报”完成线上申请。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线下申请地点：忠县政务服务中心二楼大厅住建委窗口（地址：忠县鸣玉溪大道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>99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号）</w:t>
      </w:r>
    </w:p>
    <w:p>
      <w:pPr>
        <w:widowControl/>
        <w:ind w:firstLine="640" w:firstLineChars="200"/>
        <w:jc w:val="left"/>
        <w:rPr>
          <w:rFonts w:ascii="Times New Roman" w:hAnsi="Times New Roman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（三）相关资料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1.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申请承诺及授权书：下载签字后上传；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2.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身份证：主申请人及共同申请人身份证正反面；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3.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户口簿：主申请人及共同申请人户口簿的主页、个人页和增减页；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4.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婚姻材料：已婚人员上传结婚证，离婚人员上传离婚证或法院判决书，单身人士无需上传；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5.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社会保险参保证明：需上传主申请人足额连续缴纳</w:t>
      </w:r>
      <w:r>
        <w:rPr>
          <w:rFonts w:ascii="Times New Roman" w:hAnsi="Times New Roman" w:eastAsia="方正仿宋_GBK"/>
          <w:color w:val="333333"/>
          <w:sz w:val="32"/>
          <w:szCs w:val="32"/>
        </w:rPr>
        <w:t>6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个月及以上且处于正常参保状态的城镇职工基本养老保险证明，参考下载路径：“渝快办－社保证明打印”；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6.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不动产权证：主申请人及共同申请人名下不动产权证；</w:t>
      </w:r>
    </w:p>
    <w:p>
      <w:pPr>
        <w:pStyle w:val="4"/>
        <w:shd w:val="clear" w:color="auto" w:fill="FFFFFF"/>
        <w:spacing w:before="0" w:beforeAutospacing="0" w:after="180" w:afterAutospacing="0"/>
        <w:ind w:firstLine="645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7.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其他材料：如为人才或以上材料不足以确认申请资格的，需提交其他佐证材料。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</w:rPr>
        <w:t>二、配售管理</w:t>
      </w:r>
      <w:r>
        <w:rPr>
          <w:rFonts w:ascii="Times New Roman" w:hAnsi="Times New Roman" w:eastAsia="方正黑体_GBK" w:cs="方正黑体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（一）配售方式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。项目房源按下列轮次开展配售，首轮配售有剩余房源的，进入第二轮配售，仍有剩余房源的，进入第三轮配售。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color w:val="000000"/>
          <w:kern w:val="0"/>
          <w:sz w:val="32"/>
          <w:szCs w:val="32"/>
        </w:rPr>
        <w:t>1.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首轮配售对象：轮候库中无住房的申购家庭；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color w:val="000000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第二轮配售对象：轮候库中有住房但人均住房建筑面积低于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kern w:val="0"/>
          <w:sz w:val="32"/>
          <w:szCs w:val="32"/>
        </w:rPr>
        <w:t xml:space="preserve">25 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平方米的申购家庭；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color w:val="000000"/>
          <w:kern w:val="0"/>
          <w:sz w:val="32"/>
          <w:szCs w:val="32"/>
        </w:rPr>
        <w:t>3.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第三轮配售对象：其他取得保障性住房配售资格的申购家庭。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480" w:firstLineChars="15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（二）组织认购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。对取得配售资格的申购人，按配售轮次要求，采取公开摇号的方式确定认购名单，认购名单人数根据申购情况与房源情况确定；申购人须在规定时间内缴纳认购保证金、签订认购协议书，载明认购的户型、面积标准、权利义务等信息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color w:val="000000"/>
          <w:kern w:val="0"/>
          <w:sz w:val="32"/>
          <w:szCs w:val="32"/>
        </w:rPr>
        <w:t>（三）选房签约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。属于新建项目的，项目竣工联合验收通过后，发布选房签约公告；属于存量项目的，在认购环节完成后发布选房签约公告，公告明确选房时间、地点等信息。通过公开摇号方式对认购名单确定选房顺序。申购人按顺序选房，签订购房合同、缴纳购房款。认购保证金转为购房款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未在规定时间内参加选房的，因个人原因放弃选房的，选房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后未签订购房合同的，认购保证金不予退还。在选房签约结束后，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因房源售罄而未能获得选房机会参加选房的，认购保证金可退还。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购房合同应明确产权人、配售价格、房屋使用维护、转让和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抵押限制、回购事宜等内容，合同文本按照市级相关部门拟定的示范文本执行。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</w:rPr>
        <w:t>三、注意事项</w:t>
      </w:r>
    </w:p>
    <w:p>
      <w:pPr>
        <w:widowControl/>
        <w:ind w:firstLine="640" w:firstLineChars="200"/>
        <w:jc w:val="left"/>
        <w:rPr>
          <w:rFonts w:ascii="Times New Roman" w:hAnsi="Times New Roman" w:eastAsia="Times New Roman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（一）申购人违反国家、本市、本县有关规定，采取弄虚作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假、隐瞒家庭成员真实信息和住房条件等方式骗购获取保障性住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房的，一经查实，由县政府指定机构收回保障性住房，收回价格按照原配售价格结合房屋折旧确定，不计利息。同时按照市场租金标准计收租金，时间从签订购房合同之日起至住房退回之日止。五年内不予受理其任何住房保障申请，并纳入住房保障管理服务平台进行信用管理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（二）申购人以隐瞒、虚报、提供虚假材料等方式弄虚作假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申请保障性住房进入轮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lang w:eastAsia="zh-CN"/>
        </w:rPr>
        <w:t>候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库的，申购人发生逾期还款超过贷款合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同规定期限并经司法机关裁判认定购买人贷款违约的，申购家庭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五年内不得再次申请保障性住房。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（三）房地产经纪机构和经纪人员不得违规代理保障性住房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出售、转让等业务，违反本方案相关规定的，由相关部门责令限期改正，并依据相关规定对房地产经纪机构和经纪人员进行处理。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（四）保障性住房实施封闭管理，不得变更为商品住房，不得以买卖、赠与等方式上市交易。不得设定除保障性住房购房贷款担保外的抵押权，相关部门不得办理除保障性住房购房贷款担保外的抵押权登记。因保障性住房出租，或者因保障性住房合法继承等情况发生产权转移的，房产性质仍为配售型保障性住房；因经政府指定机构回购的保障性住房房源，性质仍为配售型保障性住房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本《指引》为试行，未尽事宜以及与市级相关政策不一致的，以市级相关政策文件为准。</w:t>
      </w:r>
    </w:p>
    <w:p>
      <w:pPr>
        <w:pStyle w:val="3"/>
        <w:spacing w:before="0" w:after="0" w:line="560" w:lineRule="exact"/>
        <w:ind w:left="0" w:right="0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ascii="Times New Roman" w:hAnsi="Times New Roman" w:eastAsia="方正黑体_GBK" w:cs="方正黑体_GBK"/>
          <w:sz w:val="32"/>
          <w:szCs w:val="32"/>
        </w:rPr>
        <w:t xml:space="preserve">   </w:t>
      </w:r>
    </w:p>
    <w:p>
      <w:pPr>
        <w:pStyle w:val="3"/>
        <w:spacing w:before="0" w:after="0" w:line="560" w:lineRule="exact"/>
        <w:ind w:left="0" w:right="0" w:firstLine="480" w:firstLineChars="150"/>
        <w:jc w:val="both"/>
        <w:rPr>
          <w:rFonts w:ascii="Times New Roman" w:hAnsi="Times New Roman" w:eastAsia="方正小标宋_GBK" w:cs="方正小标宋_GBK"/>
          <w:i w:val="0"/>
          <w:iCs/>
          <w:sz w:val="44"/>
          <w:szCs w:val="44"/>
        </w:rPr>
      </w:pPr>
      <w:r>
        <w:rPr>
          <w:rFonts w:ascii="Times New Roman" w:hAnsi="Times New Roman" w:eastAsia="方正黑体_GBK" w:cs="方正黑体_GBK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i w:val="0"/>
          <w:color w:val="000000"/>
          <w:sz w:val="32"/>
          <w:szCs w:val="32"/>
        </w:rPr>
        <w:t>附件</w:t>
      </w:r>
      <w:r>
        <w:rPr>
          <w:rFonts w:ascii="Times New Roman" w:hAnsi="Times New Roman" w:eastAsia="方正仿宋_GBK" w:cs="方正仿宋_GBK"/>
          <w:i w:val="0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i w:val="0"/>
          <w:color w:val="000000"/>
          <w:sz w:val="32"/>
          <w:szCs w:val="32"/>
        </w:rPr>
        <w:t>：配售型保障性住房轮候库线上申请图示</w:t>
      </w:r>
    </w:p>
    <w:p>
      <w:pPr>
        <w:spacing w:line="600" w:lineRule="exact"/>
        <w:ind w:firstLine="640" w:firstLineChars="200"/>
        <w:rPr>
          <w:rFonts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附件</w:t>
      </w:r>
      <w:r>
        <w:rPr>
          <w:rFonts w:ascii="Times New Roman" w:hAnsi="Times New Roman" w:eastAsia="方正仿宋_GBK" w:cs="方正仿宋_GBK"/>
          <w:color w:val="000000"/>
          <w:sz w:val="32"/>
          <w:szCs w:val="32"/>
        </w:rPr>
        <w:t>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：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重庆市配售型保障性住房申请承诺及授权书</w:t>
      </w:r>
    </w:p>
    <w:p>
      <w:pPr>
        <w:pStyle w:val="2"/>
        <w:spacing w:after="0" w:line="560" w:lineRule="exact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ascii="Times New Roman" w:hAnsi="Times New Roman" w:eastAsia="方正黑体_GBK" w:cs="方正黑体_GBK"/>
          <w:sz w:val="32"/>
          <w:szCs w:val="32"/>
        </w:rPr>
        <w:t>1</w:t>
      </w:r>
    </w:p>
    <w:p>
      <w:pPr>
        <w:pStyle w:val="3"/>
        <w:rPr>
          <w:rFonts w:ascii="Times New Roman" w:hAnsi="Times New Roman"/>
        </w:rPr>
      </w:pPr>
    </w:p>
    <w:p>
      <w:pPr>
        <w:pStyle w:val="3"/>
        <w:spacing w:before="0" w:after="0" w:line="560" w:lineRule="exact"/>
        <w:ind w:left="0" w:right="0"/>
        <w:rPr>
          <w:rFonts w:ascii="Times New Roman" w:hAnsi="Times New Roman" w:eastAsia="方正小标宋_GBK" w:cs="方正小标宋_GBK"/>
          <w:i w:val="0"/>
          <w:iCs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i w:val="0"/>
          <w:iCs/>
          <w:sz w:val="44"/>
          <w:szCs w:val="44"/>
        </w:rPr>
        <w:t>配售型保障性住房轮候库线上申请图示</w:t>
      </w:r>
    </w:p>
    <w:p>
      <w:pPr>
        <w:spacing w:line="560" w:lineRule="exact"/>
        <w:ind w:firstLine="420" w:firstLineChars="200"/>
        <w:rPr>
          <w:rFonts w:ascii="Times New Roman" w:hAnsi="Times New Roman" w:eastAsia="方正黑体_GBK"/>
          <w:iCs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黑体_GBK"/>
          <w:iCs/>
          <w:sz w:val="32"/>
          <w:szCs w:val="32"/>
        </w:rPr>
      </w:pPr>
      <w:r>
        <w:rPr>
          <w:rFonts w:hint="eastAsia" w:ascii="Times New Roman" w:hAnsi="Times New Roman" w:eastAsia="方正黑体_GBK"/>
          <w:iCs/>
          <w:sz w:val="32"/>
          <w:szCs w:val="32"/>
        </w:rPr>
        <w:t>一、下载</w:t>
      </w:r>
      <w:r>
        <w:rPr>
          <w:rFonts w:ascii="Times New Roman" w:hAnsi="Times New Roman" w:eastAsia="方正黑体_GBK"/>
          <w:iCs/>
          <w:sz w:val="32"/>
          <w:szCs w:val="32"/>
        </w:rPr>
        <w:t>“</w:t>
      </w:r>
      <w:r>
        <w:rPr>
          <w:rFonts w:hint="eastAsia" w:ascii="Times New Roman" w:hAnsi="Times New Roman" w:eastAsia="方正黑体_GBK"/>
          <w:iCs/>
          <w:sz w:val="32"/>
          <w:szCs w:val="32"/>
        </w:rPr>
        <w:t>渝快办</w:t>
      </w:r>
      <w:r>
        <w:rPr>
          <w:rFonts w:ascii="Times New Roman" w:hAnsi="Times New Roman" w:eastAsia="方正黑体_GBK"/>
          <w:iCs/>
          <w:sz w:val="32"/>
          <w:szCs w:val="32"/>
        </w:rPr>
        <w:t>”</w:t>
      </w:r>
      <w:r>
        <w:rPr>
          <w:rFonts w:hint="eastAsia" w:ascii="Times New Roman" w:hAnsi="Times New Roman" w:eastAsia="方正黑体_GBK"/>
          <w:iCs/>
          <w:sz w:val="32"/>
          <w:szCs w:val="32"/>
        </w:rPr>
        <w:t>手机</w:t>
      </w:r>
      <w:r>
        <w:rPr>
          <w:rFonts w:ascii="Times New Roman" w:hAnsi="Times New Roman" w:eastAsia="方正黑体_GBK"/>
          <w:iCs/>
          <w:sz w:val="32"/>
          <w:szCs w:val="32"/>
        </w:rPr>
        <w:t>APP</w:t>
      </w:r>
    </w:p>
    <w:p>
      <w:pPr>
        <w:pStyle w:val="2"/>
        <w:spacing w:after="0" w:line="560" w:lineRule="exact"/>
        <w:rPr>
          <w:rFonts w:ascii="Times New Roman" w:hAnsi="Times New Roman" w:cs="Times New Roman"/>
        </w:rPr>
      </w:pPr>
      <w:r>
        <w:rPr>
          <w:rFonts w:ascii="Times New Roman" w:hAnsi="Times New Roman"/>
        </w:rPr>
        <w:pict>
          <v:shape id="图片 1" o:spid="_x0000_s1026" o:spt="75" type="#_x0000_t75" style="position:absolute;left:0pt;margin-left:49.25pt;margin-top:9.65pt;height:146.25pt;width:114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Times New Roman" w:hAnsi="Times New Roman" w:cs="Times New Roman"/>
        </w:rPr>
        <w:t xml:space="preserve">    </w:t>
      </w: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</w:p>
    <w:p>
      <w:pPr>
        <w:pStyle w:val="3"/>
        <w:spacing w:before="0" w:after="0" w:line="560" w:lineRule="exact"/>
        <w:ind w:left="0" w:right="0" w:firstLine="640" w:firstLineChars="200"/>
        <w:jc w:val="both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二、打开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“</w:t>
      </w: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渝快办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”</w:t>
      </w: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手机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APP</w:t>
      </w: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，在顶部搜索栏搜索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“</w:t>
      </w: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渝悦安居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”</w:t>
      </w:r>
    </w:p>
    <w:p>
      <w:pPr>
        <w:spacing w:line="560" w:lineRule="exact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图片 2" o:spid="_x0000_s1027" o:spt="75" type="#_x0000_t75" style="position:absolute;left:0pt;margin-left:49.25pt;margin-top:8.1pt;height:315.25pt;width:184.35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ascii="Times New Roman" w:hAnsi="Times New Roman"/>
        </w:rPr>
        <w:t xml:space="preserve">    </w:t>
      </w:r>
    </w:p>
    <w:p>
      <w:pPr>
        <w:pStyle w:val="2"/>
        <w:rPr>
          <w:rFonts w:ascii="Times New Roman" w:hAnsi="Times New Roman" w:cs="Times New Roman"/>
        </w:rPr>
      </w:pPr>
    </w:p>
    <w:p>
      <w:pPr>
        <w:pStyle w:val="3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3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3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3"/>
        <w:ind w:left="0"/>
        <w:jc w:val="both"/>
        <w:rPr>
          <w:rFonts w:ascii="Times New Roman" w:hAnsi="Times New Roman"/>
        </w:rPr>
      </w:pPr>
    </w:p>
    <w:p>
      <w:pPr>
        <w:ind w:left="640"/>
        <w:rPr>
          <w:rFonts w:ascii="Times New Roman" w:hAnsi="Times New Roman" w:eastAsia="方正黑体_GBK"/>
          <w:iCs/>
          <w:szCs w:val="32"/>
        </w:rPr>
      </w:pPr>
      <w:r>
        <w:rPr>
          <w:rFonts w:hint="eastAsia" w:ascii="Times New Roman" w:hAnsi="Times New Roman" w:eastAsia="方正黑体_GBK"/>
          <w:iCs/>
          <w:szCs w:val="32"/>
        </w:rPr>
        <w:t>三、点击</w:t>
      </w:r>
      <w:r>
        <w:rPr>
          <w:rFonts w:ascii="Times New Roman" w:hAnsi="Times New Roman" w:eastAsia="方正黑体_GBK"/>
          <w:iCs/>
          <w:szCs w:val="32"/>
        </w:rPr>
        <w:t>“</w:t>
      </w:r>
      <w:r>
        <w:rPr>
          <w:rFonts w:hint="eastAsia" w:ascii="Times New Roman" w:hAnsi="Times New Roman" w:eastAsia="方正黑体_GBK"/>
          <w:iCs/>
          <w:szCs w:val="32"/>
        </w:rPr>
        <w:t>渝悦安居</w:t>
      </w:r>
      <w:r>
        <w:rPr>
          <w:rFonts w:ascii="Times New Roman" w:hAnsi="Times New Roman" w:eastAsia="方正黑体_GBK"/>
          <w:iCs/>
          <w:szCs w:val="32"/>
        </w:rPr>
        <w:t>”</w:t>
      </w:r>
      <w:r>
        <w:rPr>
          <w:rFonts w:hint="eastAsia" w:ascii="Times New Roman" w:hAnsi="Times New Roman" w:eastAsia="方正黑体_GBK"/>
          <w:iCs/>
          <w:szCs w:val="32"/>
        </w:rPr>
        <w:t>应用</w:t>
      </w:r>
    </w:p>
    <w:p>
      <w:pPr>
        <w:pStyle w:val="2"/>
        <w:ind w:left="6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type="#_x0000_t75" style="height:585pt;width:318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3"/>
        <w:jc w:val="left"/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</w:pP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四、点击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“</w:t>
      </w:r>
      <w:r>
        <w:rPr>
          <w:rFonts w:hint="eastAsia" w:ascii="Times New Roman" w:hAnsi="Times New Roman" w:eastAsia="方正黑体_GBK"/>
          <w:i w:val="0"/>
          <w:iCs/>
          <w:kern w:val="2"/>
          <w:sz w:val="32"/>
          <w:szCs w:val="32"/>
        </w:rPr>
        <w:t>保障一件事</w:t>
      </w:r>
      <w:r>
        <w:rPr>
          <w:rFonts w:ascii="Times New Roman" w:hAnsi="Times New Roman" w:eastAsia="方正黑体_GBK"/>
          <w:i w:val="0"/>
          <w:iCs/>
          <w:kern w:val="2"/>
          <w:sz w:val="32"/>
          <w:szCs w:val="32"/>
        </w:rPr>
        <w:t>”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o:spt="75" type="#_x0000_t75" style="height:588pt;width:326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2"/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方正黑体_GBK" w:cs="Times New Roman"/>
          <w:iCs/>
          <w:kern w:val="2"/>
          <w:sz w:val="32"/>
          <w:szCs w:val="32"/>
        </w:rPr>
        <w:t>五、点击</w:t>
      </w:r>
      <w:r>
        <w:rPr>
          <w:rFonts w:ascii="Times New Roman" w:hAnsi="Times New Roman" w:eastAsia="方正黑体_GBK" w:cs="Times New Roman"/>
          <w:iCs/>
          <w:kern w:val="2"/>
          <w:sz w:val="32"/>
          <w:szCs w:val="32"/>
        </w:rPr>
        <w:t>“</w:t>
      </w:r>
      <w:r>
        <w:rPr>
          <w:rFonts w:hint="eastAsia" w:ascii="Times New Roman" w:hAnsi="Times New Roman" w:eastAsia="方正黑体_GBK" w:cs="Times New Roman"/>
          <w:iCs/>
          <w:kern w:val="2"/>
          <w:sz w:val="32"/>
          <w:szCs w:val="32"/>
        </w:rPr>
        <w:t>保障性住房配售服务</w:t>
      </w:r>
      <w:r>
        <w:rPr>
          <w:rFonts w:ascii="Times New Roman" w:hAnsi="Times New Roman" w:eastAsia="方正黑体_GBK" w:cs="Times New Roman"/>
          <w:iCs/>
          <w:kern w:val="2"/>
          <w:sz w:val="32"/>
          <w:szCs w:val="32"/>
        </w:rPr>
        <w:t>”</w:t>
      </w:r>
    </w:p>
    <w:p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o:spt="75" type="#_x0000_t75" style="height:512.25pt;width:378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</w:p>
    <w:p>
      <w:pPr>
        <w:pStyle w:val="3"/>
        <w:rPr>
          <w:rFonts w:ascii="Times New Roman" w:hAnsi="Times New Roman"/>
        </w:rPr>
      </w:pPr>
    </w:p>
    <w:p>
      <w:pPr>
        <w:ind w:firstLine="640" w:firstLineChars="200"/>
        <w:rPr>
          <w:rFonts w:ascii="Times New Roman" w:hAnsi="Times New Roman" w:eastAsia="方正黑体_GBK"/>
          <w:iCs/>
          <w:sz w:val="32"/>
          <w:szCs w:val="32"/>
        </w:rPr>
      </w:pPr>
      <w:r>
        <w:rPr>
          <w:rFonts w:hint="eastAsia" w:ascii="Times New Roman" w:hAnsi="Times New Roman" w:eastAsia="方正黑体_GBK"/>
          <w:iCs/>
          <w:sz w:val="32"/>
          <w:szCs w:val="32"/>
        </w:rPr>
        <w:t>六、点击</w:t>
      </w:r>
      <w:r>
        <w:rPr>
          <w:rFonts w:ascii="Times New Roman" w:hAnsi="Times New Roman" w:eastAsia="方正黑体_GBK"/>
          <w:iCs/>
          <w:sz w:val="32"/>
          <w:szCs w:val="32"/>
        </w:rPr>
        <w:t>“</w:t>
      </w:r>
      <w:r>
        <w:rPr>
          <w:rFonts w:hint="eastAsia" w:ascii="Times New Roman" w:hAnsi="Times New Roman" w:eastAsia="方正黑体_GBK"/>
          <w:iCs/>
          <w:sz w:val="32"/>
          <w:szCs w:val="32"/>
        </w:rPr>
        <w:t>轮候资格申报</w:t>
      </w:r>
      <w:r>
        <w:rPr>
          <w:rFonts w:ascii="Times New Roman" w:hAnsi="Times New Roman" w:eastAsia="方正黑体_GBK"/>
          <w:iCs/>
          <w:sz w:val="32"/>
          <w:szCs w:val="32"/>
        </w:rPr>
        <w:t>”</w:t>
      </w:r>
      <w:r>
        <w:rPr>
          <w:rFonts w:hint="eastAsia" w:ascii="Times New Roman" w:hAnsi="Times New Roman" w:eastAsia="方正黑体_GBK"/>
          <w:iCs/>
          <w:sz w:val="32"/>
          <w:szCs w:val="32"/>
        </w:rPr>
        <w:t>，录入信息、上传资料后完成线上申请</w:t>
      </w:r>
    </w:p>
    <w:p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8" o:spt="75" type="#_x0000_t75" style="height:381pt;width:270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ascii="Times New Roman" w:hAnsi="Times New Roman" w:eastAsia="方正仿宋_GBK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3"/>
        <w:rPr>
          <w:rFonts w:ascii="Times New Roman" w:hAnsi="Times New Roman" w:eastAsia="方正仿宋_GBK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3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spacing w:after="0" w:line="560" w:lineRule="exact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ascii="Times New Roman" w:hAnsi="Times New Roman" w:eastAsia="方正黑体_GBK" w:cs="方正黑体_GBK"/>
          <w:sz w:val="32"/>
          <w:szCs w:val="32"/>
        </w:rPr>
        <w:t>2</w:t>
      </w:r>
    </w:p>
    <w:p>
      <w:pPr>
        <w:spacing w:line="600" w:lineRule="exact"/>
        <w:jc w:val="center"/>
        <w:rPr>
          <w:rFonts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重庆市配售型保障性住房申请承诺及授权书</w:t>
      </w:r>
    </w:p>
    <w:p>
      <w:pPr>
        <w:spacing w:line="600" w:lineRule="exact"/>
        <w:jc w:val="center"/>
        <w:rPr>
          <w:rFonts w:ascii="Times New Roman" w:hAnsi="Times New Roman" w:eastAsia="方正小标宋_GBK" w:cs="方正小标宋_GBK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人及共同申请人承诺，遵照《重庆市规划建设保障性住房实施方案》和《重庆市保障性住房配售管理办法（试行）》规定，申请配售型保障性住房，所填报的户籍、工作、社保、婚姻、住房等信息及提供的相关材料真实、有效、准确，同意按照规定面向社会公示。如有隐瞒、虚报、提供虚假材料等情形，本人及共同申请人自愿承担相应责任和后果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本人及共同申请人同意并授权住房城乡建设部门在审核资格条件时，向涉及本人及共同申请人申请信息的部门（机构）查询、核对信息，包括但不限于户籍、工作、社保、婚姻、住房等。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本人及共同申请人承诺，若正在享受政策性住房，应在规定时限内完成腾退（具体时限以政策规定为准）。如存在隐瞒、虚报或未按时腾退等情形，本人及共同申请人自愿承担相应责任和后果。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本人签字即视为取得共同申请人申请承诺及授权。</w:t>
      </w:r>
    </w:p>
    <w:p>
      <w:pPr>
        <w:spacing w:line="560" w:lineRule="exac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</w:p>
    <w:p>
      <w:pPr>
        <w:spacing w:line="560" w:lineRule="exact"/>
        <w:ind w:firstLine="1280" w:firstLineChars="4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申请人签字（代共同申请人）：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</w:p>
    <w:p>
      <w:pPr>
        <w:ind w:firstLine="640"/>
        <w:jc w:val="righ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年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      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月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      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</w:rPr>
        <w:t>日</w:t>
      </w:r>
      <w:r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 w:cs="方正仿宋_GBK"/>
          <w:color w:val="000000"/>
          <w:kern w:val="0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4B8E7276"/>
    <w:rsid w:val="00054D3A"/>
    <w:rsid w:val="0006561E"/>
    <w:rsid w:val="00074537"/>
    <w:rsid w:val="000A799C"/>
    <w:rsid w:val="000B57B7"/>
    <w:rsid w:val="000C40FB"/>
    <w:rsid w:val="000E6EB8"/>
    <w:rsid w:val="000F632C"/>
    <w:rsid w:val="00101C6A"/>
    <w:rsid w:val="001428D5"/>
    <w:rsid w:val="001515F5"/>
    <w:rsid w:val="00170A86"/>
    <w:rsid w:val="001B3D62"/>
    <w:rsid w:val="001C3DC9"/>
    <w:rsid w:val="001E4BA5"/>
    <w:rsid w:val="00217BD8"/>
    <w:rsid w:val="002224E2"/>
    <w:rsid w:val="00252EAD"/>
    <w:rsid w:val="0025345A"/>
    <w:rsid w:val="002758F4"/>
    <w:rsid w:val="0028563A"/>
    <w:rsid w:val="002A3624"/>
    <w:rsid w:val="002E616B"/>
    <w:rsid w:val="002E699D"/>
    <w:rsid w:val="00326731"/>
    <w:rsid w:val="003418B1"/>
    <w:rsid w:val="00357301"/>
    <w:rsid w:val="003C0E14"/>
    <w:rsid w:val="003C5AA0"/>
    <w:rsid w:val="004168E3"/>
    <w:rsid w:val="004844A5"/>
    <w:rsid w:val="0049569C"/>
    <w:rsid w:val="004C6629"/>
    <w:rsid w:val="004F63A3"/>
    <w:rsid w:val="005F4417"/>
    <w:rsid w:val="005F787B"/>
    <w:rsid w:val="00646A80"/>
    <w:rsid w:val="006A0DB0"/>
    <w:rsid w:val="006C121A"/>
    <w:rsid w:val="00706E5B"/>
    <w:rsid w:val="00710961"/>
    <w:rsid w:val="00772277"/>
    <w:rsid w:val="007D5237"/>
    <w:rsid w:val="00804EAA"/>
    <w:rsid w:val="0082091B"/>
    <w:rsid w:val="00840EF9"/>
    <w:rsid w:val="008A302F"/>
    <w:rsid w:val="008C57DA"/>
    <w:rsid w:val="008C74ED"/>
    <w:rsid w:val="008E0ADC"/>
    <w:rsid w:val="00903691"/>
    <w:rsid w:val="00990679"/>
    <w:rsid w:val="009D7C09"/>
    <w:rsid w:val="009E6352"/>
    <w:rsid w:val="009E6576"/>
    <w:rsid w:val="00A029AF"/>
    <w:rsid w:val="00A353E5"/>
    <w:rsid w:val="00A62881"/>
    <w:rsid w:val="00AE2CB6"/>
    <w:rsid w:val="00B33710"/>
    <w:rsid w:val="00B84AB0"/>
    <w:rsid w:val="00B85FE2"/>
    <w:rsid w:val="00B87A99"/>
    <w:rsid w:val="00BA3054"/>
    <w:rsid w:val="00BA638C"/>
    <w:rsid w:val="00BD38B1"/>
    <w:rsid w:val="00BF2A0F"/>
    <w:rsid w:val="00C51511"/>
    <w:rsid w:val="00CB51E5"/>
    <w:rsid w:val="00CC5290"/>
    <w:rsid w:val="00CC6283"/>
    <w:rsid w:val="00D14375"/>
    <w:rsid w:val="00D51015"/>
    <w:rsid w:val="00D56D7C"/>
    <w:rsid w:val="00D56EC4"/>
    <w:rsid w:val="00DA71F0"/>
    <w:rsid w:val="00DC501F"/>
    <w:rsid w:val="00E3061A"/>
    <w:rsid w:val="00E721AF"/>
    <w:rsid w:val="00E76326"/>
    <w:rsid w:val="00EC009F"/>
    <w:rsid w:val="00EE26D7"/>
    <w:rsid w:val="00F06A87"/>
    <w:rsid w:val="00F34AAA"/>
    <w:rsid w:val="00F62B70"/>
    <w:rsid w:val="00F67F6D"/>
    <w:rsid w:val="00FD628E"/>
    <w:rsid w:val="04732647"/>
    <w:rsid w:val="04E279FE"/>
    <w:rsid w:val="0AA01CBB"/>
    <w:rsid w:val="0FFF7484"/>
    <w:rsid w:val="155344FA"/>
    <w:rsid w:val="15B66837"/>
    <w:rsid w:val="183A72AB"/>
    <w:rsid w:val="18A706B9"/>
    <w:rsid w:val="22284240"/>
    <w:rsid w:val="22A04AF7"/>
    <w:rsid w:val="26DB60FD"/>
    <w:rsid w:val="277B343D"/>
    <w:rsid w:val="279217AF"/>
    <w:rsid w:val="2CE00DF7"/>
    <w:rsid w:val="2E1848FC"/>
    <w:rsid w:val="33BC2E13"/>
    <w:rsid w:val="36301896"/>
    <w:rsid w:val="37BEA498"/>
    <w:rsid w:val="3D417C86"/>
    <w:rsid w:val="3E2D5039"/>
    <w:rsid w:val="3E9F5A75"/>
    <w:rsid w:val="3FFE3A57"/>
    <w:rsid w:val="41466412"/>
    <w:rsid w:val="42835EF4"/>
    <w:rsid w:val="480D7C89"/>
    <w:rsid w:val="4B8E7276"/>
    <w:rsid w:val="4F2E29BF"/>
    <w:rsid w:val="503B1837"/>
    <w:rsid w:val="50DC1B38"/>
    <w:rsid w:val="58EFD675"/>
    <w:rsid w:val="62FB6C04"/>
    <w:rsid w:val="632A1297"/>
    <w:rsid w:val="63D77671"/>
    <w:rsid w:val="65143FAD"/>
    <w:rsid w:val="67D57A24"/>
    <w:rsid w:val="68221FDE"/>
    <w:rsid w:val="6CA44394"/>
    <w:rsid w:val="6D4D4500"/>
    <w:rsid w:val="71CD5C10"/>
    <w:rsid w:val="75466405"/>
    <w:rsid w:val="79586E38"/>
    <w:rsid w:val="7CB93960"/>
    <w:rsid w:val="7F376DBE"/>
    <w:rsid w:val="EF3F4263"/>
    <w:rsid w:val="FACBA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7"/>
    <w:qFormat/>
    <w:uiPriority w:val="99"/>
    <w:pPr>
      <w:widowControl/>
      <w:spacing w:after="120"/>
      <w:jc w:val="left"/>
    </w:pPr>
    <w:rPr>
      <w:rFonts w:ascii="Times New Roman" w:hAnsi="Times New Roman" w:eastAsia="方正仿宋_GBK" w:cs="宋体"/>
      <w:kern w:val="0"/>
      <w:sz w:val="24"/>
      <w:szCs w:val="20"/>
    </w:rPr>
  </w:style>
  <w:style w:type="paragraph" w:customStyle="1" w:styleId="3">
    <w:name w:val="引用1"/>
    <w:next w:val="1"/>
    <w:qFormat/>
    <w:uiPriority w:val="99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kern w:val="0"/>
      <w:sz w:val="21"/>
      <w:szCs w:val="20"/>
      <w:lang w:val="en-US" w:eastAsia="zh-CN" w:bidi="ar-SA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Body Text Char"/>
    <w:basedOn w:val="6"/>
    <w:link w:val="2"/>
    <w:semiHidden/>
    <w:qFormat/>
    <w:locked/>
    <w:uiPriority w:val="99"/>
    <w:rPr>
      <w:rFonts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12</Pages>
  <Words>492</Words>
  <Characters>2808</Characters>
  <Lines>0</Lines>
  <Paragraphs>0</Paragraphs>
  <TotalTime>142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2025-02-28T15:49:00Z</dcterms:created>
  <dc:creator>鸣蝉</dc:creator>
  <cp:lastModifiedBy>user</cp:lastModifiedBy>
  <cp:lastPrinted>2025-02-28T16:28:00Z</cp:lastPrinted>
  <dcterms:modified xsi:type="dcterms:W3CDTF">2025-03-18T11:34:00Z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D18D799039D64861B4560EFD0224F3E0_11</vt:lpwstr>
  </property>
  <property fmtid="{D5CDD505-2E9C-101B-9397-08002B2CF9AE}" pid="4" name="KSOTemplateDocerSaveRecord">
    <vt:lpwstr>eyJoZGlkIjoiODg1N2Q5MTFmYTU1OTE4NmY0YjVjYjdiODBhM2Y3YjIiLCJ1c2VySWQiOiIxNDg5NDgwODAyIn0=</vt:lpwstr>
  </property>
</Properties>
</file>