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重庆市忠县官坝镇市政环卫服务中心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忠县官坝镇市政环卫服务中心主要负责为本辖区市政、环卫、市容市貌、园林绿化、物业管理提供服务。市政公共设施管理、市政环境卫生管理、市容市貌管理、园林绿化、物业管理。</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本单位无下级机构设置。</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2023年度收入总计55.85万元，支出总计</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万元。收支较上年决算数增加16.45万元，增长41.75%，主要原因是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2023年度收入合计55.85万元，较上年决算数增加16.45万元，增长41.75%，主要原因是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万元，较上年决算数增加16.45万元，增长41.75%，主要原因是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万元，占100.00%。</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严格按照预算和调整预算实现本年支出，所以无结转结余。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2023年度财政拨款收、支总计55.85万元。与2022年相比，财政拨款收、支总计各增加16.45万元，增长41.75%。主要原因是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万元，较上年决算数增加16.45万元，增长41.75%。主要原因是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较年初预算数增加20.15万元，增长56.44%。主要原因是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万元，较上年决算数增加16.45万元，增长41.75%。主要原因是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较年初预算数增加20.15万元，增长56.44%。主要原因是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本单位严格执行财政预算和调整预算制度，合理安排相关支出，无结转结余。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%，较年初预算数增加0.04万元，增长40.00%，主要原因是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年县级教育培训增加，导致各项经费支出增加。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%，较年初预算数增加1.37万元，增长44.63%，主要原因是</w:t>
      </w:r>
      <w:r>
        <w:rPr>
          <w:rFonts w:hint="eastAsia" w:ascii="方正仿宋_GBK" w:hAnsi="方正仿宋_GBK" w:eastAsia="方正仿宋_GBK" w:cs="方正仿宋_GBK"/>
          <w:sz w:val="32"/>
          <w:szCs w:val="32"/>
          <w:shd w:val="clear" w:color="auto" w:fill="FFFFFF"/>
          <w:lang w:val="en-US" w:eastAsia="zh-CN"/>
        </w:rPr>
        <w:t>社保缴费基数调整，</w:t>
      </w:r>
      <w:r>
        <w:rPr>
          <w:rFonts w:hint="eastAsia" w:ascii="方正仿宋_GBK" w:hAnsi="方正仿宋_GBK" w:eastAsia="方正仿宋_GBK" w:cs="方正仿宋_GBK"/>
          <w:sz w:val="32"/>
          <w:szCs w:val="32"/>
        </w:rPr>
        <w:t>养老保险、职业年金等各项社会保险增加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导致社会保障与就业支出增加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4.09</w:t>
      </w:r>
      <w:r>
        <w:rPr>
          <w:rFonts w:ascii="方正仿宋_GBK" w:hAnsi="方正仿宋_GBK" w:eastAsia="方正仿宋_GBK" w:cs="方正仿宋_GBK"/>
          <w:sz w:val="32"/>
          <w:szCs w:val="32"/>
          <w:shd w:val="clear" w:color="auto" w:fill="FFFFFF"/>
        </w:rPr>
        <w:t>%，较年初预算数增加0.69万元，增长43.13%，主要原因是</w:t>
      </w:r>
      <w:r>
        <w:rPr>
          <w:rFonts w:hint="eastAsia" w:ascii="方正仿宋_GBK" w:hAnsi="方正仿宋_GBK" w:eastAsia="方正仿宋_GBK" w:cs="方正仿宋_GBK"/>
          <w:sz w:val="32"/>
          <w:szCs w:val="32"/>
        </w:rPr>
        <w:t>医疗保险支出增加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导致卫生健康支出增加</w:t>
      </w:r>
      <w:r>
        <w:rPr>
          <w:rFonts w:hint="eastAsia" w:ascii="方正仿宋_GBK" w:hAnsi="方正仿宋_GBK" w:eastAsia="方正仿宋_GBK" w:cs="方正仿宋_GBK"/>
          <w:sz w:val="32"/>
          <w:szCs w:val="32"/>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83.29</w:t>
      </w:r>
      <w:r>
        <w:rPr>
          <w:rFonts w:ascii="方正仿宋_GBK" w:hAnsi="方正仿宋_GBK" w:eastAsia="方正仿宋_GBK" w:cs="方正仿宋_GBK"/>
          <w:sz w:val="32"/>
          <w:szCs w:val="32"/>
          <w:shd w:val="clear" w:color="auto" w:fill="FFFFFF"/>
        </w:rPr>
        <w:t>%，较年初预算数增加17.28万元，增长59.10%，主要原因是</w:t>
      </w:r>
      <w:r>
        <w:rPr>
          <w:rFonts w:hint="eastAsia" w:ascii="方正仿宋_GBK" w:hAnsi="方正仿宋_GBK" w:eastAsia="方正仿宋_GBK" w:cs="方正仿宋_GBK"/>
          <w:sz w:val="32"/>
          <w:szCs w:val="32"/>
        </w:rPr>
        <w:t>职级职务晋升，经费支出增加。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%，较年初预算数增加0.77万元，增长45.56%，主要原因是</w:t>
      </w:r>
      <w:r>
        <w:rPr>
          <w:rFonts w:hint="eastAsia" w:ascii="方正仿宋_GBK" w:hAnsi="方正仿宋_GBK" w:eastAsia="方正仿宋_GBK" w:cs="方正仿宋_GBK"/>
          <w:sz w:val="32"/>
          <w:szCs w:val="32"/>
        </w:rPr>
        <w:t>职级职务晋升，</w:t>
      </w:r>
      <w:r>
        <w:rPr>
          <w:rFonts w:hint="eastAsia" w:ascii="方正仿宋_GBK" w:hAnsi="方正仿宋_GBK" w:eastAsia="方正仿宋_GBK" w:cs="方正仿宋_GBK"/>
          <w:sz w:val="32"/>
          <w:szCs w:val="32"/>
          <w:lang w:val="en-US" w:eastAsia="zh-CN"/>
        </w:rPr>
        <w:t>公积金</w:t>
      </w:r>
      <w:r>
        <w:rPr>
          <w:rFonts w:hint="eastAsia" w:ascii="方正仿宋_GBK" w:hAnsi="方正仿宋_GBK" w:eastAsia="方正仿宋_GBK" w:cs="方正仿宋_GBK"/>
          <w:sz w:val="32"/>
          <w:szCs w:val="32"/>
        </w:rPr>
        <w:t>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55.85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49.84</w:t>
      </w:r>
      <w:r>
        <w:rPr>
          <w:rFonts w:ascii="方正仿宋_GBK" w:hAnsi="方正仿宋_GBK" w:eastAsia="方正仿宋_GBK" w:cs="方正仿宋_GBK"/>
          <w:sz w:val="32"/>
          <w:szCs w:val="32"/>
          <w:shd w:val="clear" w:color="auto" w:fill="FFFFFF"/>
        </w:rPr>
        <w:t>万元，较上年决算数增加15.39万元，增长44.67%，主要原因是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各项经费追加，总体情况收支均增加。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rPr>
        <w:t>基本工资、绩效工资、津贴补贴、奖金、其他工资福利支出、社会保障缴费、公积金费用等。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6.01</w:t>
      </w:r>
      <w:r>
        <w:rPr>
          <w:rFonts w:ascii="方正仿宋_GBK" w:hAnsi="方正仿宋_GBK" w:eastAsia="方正仿宋_GBK" w:cs="方正仿宋_GBK"/>
          <w:sz w:val="32"/>
          <w:szCs w:val="32"/>
          <w:shd w:val="clear" w:color="auto" w:fill="FFFFFF"/>
        </w:rPr>
        <w:t>万元，较上年决算数增加1.06万元，增长21.41%，主要原因是</w:t>
      </w:r>
      <w:r>
        <w:rPr>
          <w:rFonts w:hint="eastAsia" w:ascii="方正仿宋_GBK" w:hAnsi="方正仿宋_GBK" w:eastAsia="方正仿宋_GBK" w:cs="方正仿宋_GBK"/>
          <w:sz w:val="32"/>
          <w:szCs w:val="32"/>
          <w:shd w:val="clear" w:color="auto" w:fill="FFFFFF"/>
          <w:lang w:val="en-US" w:eastAsia="zh-CN"/>
        </w:rPr>
        <w:t>本年度人员晋级晋升，薪级增加，</w:t>
      </w:r>
      <w:r>
        <w:rPr>
          <w:rFonts w:hint="eastAsia" w:ascii="方正仿宋_GBK" w:hAnsi="方正仿宋_GBK" w:eastAsia="方正仿宋_GBK" w:cs="方正仿宋_GBK"/>
          <w:sz w:val="32"/>
          <w:szCs w:val="32"/>
        </w:rPr>
        <w:t>各项经费追加。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办公费、差旅费、邮电费、培训费、工会经费、福利费、公务接待费、其他商品服务支出等。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万元，较年初预算数减少0.06万元，下降100.00%，主要原因是</w:t>
      </w:r>
      <w:r>
        <w:rPr>
          <w:rFonts w:hint="eastAsia" w:ascii="方正仿宋_GBK" w:hAnsi="方正仿宋_GBK" w:eastAsia="方正仿宋_GBK" w:cs="方正仿宋_GBK"/>
          <w:sz w:val="32"/>
          <w:szCs w:val="32"/>
        </w:rPr>
        <w:t>本单位严格执行财政预算相关制度，严控“三公”经费支出。</w:t>
      </w:r>
      <w:r>
        <w:rPr>
          <w:rFonts w:ascii="方正仿宋_GBK" w:hAnsi="方正仿宋_GBK" w:eastAsia="方正仿宋_GBK" w:cs="方正仿宋_GBK"/>
          <w:sz w:val="32"/>
          <w:szCs w:val="32"/>
          <w:shd w:val="clear" w:color="auto" w:fill="FFFFFF"/>
        </w:rPr>
        <w:t>较上年支出数减少0.10万元，下降100.00%，主要原因是</w:t>
      </w:r>
      <w:r>
        <w:rPr>
          <w:rFonts w:hint="eastAsia" w:ascii="方正仿宋_GBK" w:hAnsi="方正仿宋_GBK" w:eastAsia="方正仿宋_GBK" w:cs="方正仿宋_GBK"/>
          <w:sz w:val="32"/>
          <w:szCs w:val="32"/>
        </w:rPr>
        <w:t>本单位严格执行财政预算相关制度，严控“三公”经费支出。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年未发生因公出国（境）费用支出。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年未发生公务车购置费用。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年未发生公务车运行维护费支出。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万元，费用支出较年初预算数减少0.06万元，下降100.00%，主要原因是</w:t>
      </w:r>
      <w:r>
        <w:rPr>
          <w:rFonts w:hint="eastAsia" w:ascii="方正仿宋_GBK" w:hAnsi="方正仿宋_GBK" w:eastAsia="方正仿宋_GBK" w:cs="方正仿宋_GBK"/>
          <w:sz w:val="32"/>
          <w:szCs w:val="32"/>
        </w:rPr>
        <w:t>接待接受相关部门检查指导工作发生的接待支出。</w:t>
      </w:r>
      <w:r>
        <w:rPr>
          <w:rFonts w:ascii="方正仿宋_GBK" w:hAnsi="方正仿宋_GBK" w:eastAsia="方正仿宋_GBK" w:cs="方正仿宋_GBK"/>
          <w:sz w:val="32"/>
          <w:szCs w:val="32"/>
          <w:shd w:val="clear" w:color="auto" w:fill="FFFFFF"/>
        </w:rPr>
        <w:t>较上年支出数减少0.10万元，下降100.00%，主要原因是</w:t>
      </w:r>
      <w:r>
        <w:rPr>
          <w:rFonts w:hint="eastAsia" w:ascii="方正仿宋_GBK" w:hAnsi="方正仿宋_GBK" w:eastAsia="方正仿宋_GBK" w:cs="方正仿宋_GBK"/>
          <w:sz w:val="32"/>
          <w:szCs w:val="32"/>
        </w:rPr>
        <w:t>本单位严格执行财政预算相关制度，严控公务接待费支出。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 xml:space="preserve"> </w:t>
      </w: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万元，较上年决算数增加0.30万元，增长300.00%，主要原因是</w:t>
      </w:r>
      <w:r>
        <w:rPr>
          <w:rFonts w:hint="eastAsia" w:ascii="方正仿宋_GBK" w:hAnsi="方正仿宋_GBK" w:eastAsia="方正仿宋_GBK" w:cs="方正仿宋_GBK"/>
          <w:sz w:val="32"/>
          <w:szCs w:val="32"/>
        </w:rPr>
        <w:t>严格按照预算经费支出。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hint="default" w:ascii="方正仿宋_GBK" w:hAnsi="方正仿宋_GBK" w:eastAsia="方正仿宋_GBK" w:cs="方正仿宋_GBK"/>
          <w:sz w:val="32"/>
          <w:szCs w:val="32"/>
          <w:shd w:val="clear" w:color="auto" w:fill="FFFFFF"/>
        </w:rPr>
        <w:t>按照部门决算列报口径，我单位不在机关运行经费统计范围之内。因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原因，财政未保障我单位机关运行经费。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原因，我单位资产未纳入部门决算报表</w:t>
      </w:r>
      <w:r>
        <w:rPr>
          <w:rFonts w:hint="default" w:ascii="方正仿宋_GBK" w:hAnsi="方正仿宋_GBK" w:eastAsia="方正仿宋_GBK" w:cs="方正仿宋_GBK"/>
          <w:color w:val="FF000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根据预算绩效管理要求，本部门2022年未开展预算绩效管理工作。</w:t>
      </w:r>
    </w:p>
    <w:p>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我单位未组织开展绩效评价。</w:t>
      </w:r>
    </w:p>
    <w:p>
      <w:pPr>
        <w:pStyle w:val="11"/>
        <w:numPr>
          <w:ilvl w:val="0"/>
          <w:numId w:val="2"/>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rPr>
        <w:t>本单位决算公开信息反馈和联系方式：023-54560115。</w:t>
      </w: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重庆市忠县官坝镇市政环卫服务中心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重庆市忠县官坝镇市政环卫服务中心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重庆市忠县官坝镇市政环卫服务中心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49.84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重庆市忠县官坝镇市政环卫服务中心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BE53EBC"/>
    <w:multiLevelType w:val="singleLevel"/>
    <w:tmpl w:val="5BE53EB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79046D"/>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35556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B73A3B"/>
    <w:rsid w:val="2B167953"/>
    <w:rsid w:val="2B200583"/>
    <w:rsid w:val="2B8209DE"/>
    <w:rsid w:val="2C636760"/>
    <w:rsid w:val="2C6762A3"/>
    <w:rsid w:val="2FCA4B37"/>
    <w:rsid w:val="2FE029D7"/>
    <w:rsid w:val="2FF06E00"/>
    <w:rsid w:val="30586FEC"/>
    <w:rsid w:val="313D5108"/>
    <w:rsid w:val="315F0B22"/>
    <w:rsid w:val="31B3072A"/>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C7A1C"/>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0C46E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501432"/>
    <w:rsid w:val="40BD5482"/>
    <w:rsid w:val="411B6CE5"/>
    <w:rsid w:val="412070D7"/>
    <w:rsid w:val="41314E40"/>
    <w:rsid w:val="41E0734B"/>
    <w:rsid w:val="426C1EA8"/>
    <w:rsid w:val="42736402"/>
    <w:rsid w:val="42E86A87"/>
    <w:rsid w:val="43307B09"/>
    <w:rsid w:val="439A3EB9"/>
    <w:rsid w:val="43BB152F"/>
    <w:rsid w:val="44C37687"/>
    <w:rsid w:val="45CB699A"/>
    <w:rsid w:val="465B470D"/>
    <w:rsid w:val="46630D96"/>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0661CC"/>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354CF"/>
    <w:rsid w:val="5C263CE4"/>
    <w:rsid w:val="5C5D2777"/>
    <w:rsid w:val="5CC80DAC"/>
    <w:rsid w:val="5CF66BF3"/>
    <w:rsid w:val="5D290C69"/>
    <w:rsid w:val="5F2D4A41"/>
    <w:rsid w:val="60C74F6C"/>
    <w:rsid w:val="61025A59"/>
    <w:rsid w:val="613D5BBC"/>
    <w:rsid w:val="61536C39"/>
    <w:rsid w:val="61D7277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D50FE4"/>
    <w:rsid w:val="6B474EF5"/>
    <w:rsid w:val="6C0A5AC5"/>
    <w:rsid w:val="6C560CAE"/>
    <w:rsid w:val="6C576495"/>
    <w:rsid w:val="6D903FF5"/>
    <w:rsid w:val="6DA955B8"/>
    <w:rsid w:val="6DE346AB"/>
    <w:rsid w:val="6DE5391A"/>
    <w:rsid w:val="6EFD1324"/>
    <w:rsid w:val="6F5A53AC"/>
    <w:rsid w:val="6FAC003D"/>
    <w:rsid w:val="6FE55E12"/>
    <w:rsid w:val="6FFB2E76"/>
    <w:rsid w:val="70693363"/>
    <w:rsid w:val="708F6F7F"/>
    <w:rsid w:val="70D94BD3"/>
    <w:rsid w:val="71C34D91"/>
    <w:rsid w:val="729B5F5A"/>
    <w:rsid w:val="72DB435C"/>
    <w:rsid w:val="72E2613A"/>
    <w:rsid w:val="72E26BA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杨丹</cp:lastModifiedBy>
  <dcterms:modified xsi:type="dcterms:W3CDTF">2024-10-17T08:18:21Z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