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7"/>
        <w:spacing w:before="0" w:beforeAutospacing="0"/>
        <w:jc w:val="center"/>
        <w:rPr>
          <w:rFonts w:hint="default" w:ascii="方正小标宋_GBK" w:hAnsi="方正小标宋_GBK" w:eastAsia="方正小标宋_GBK" w:cs="方正小标宋_GBK"/>
          <w:sz w:val="36"/>
          <w:szCs w:val="36"/>
          <w:shd w:val="clear" w:color="auto" w:fill="FFFFFF"/>
        </w:rPr>
      </w:pPr>
      <w:r>
        <w:rPr>
          <w:rFonts w:ascii="方正小标宋_GBK" w:hAnsi="方正小标宋_GBK" w:eastAsia="方正小标宋_GBK" w:cs="方正小标宋_GBK"/>
          <w:sz w:val="36"/>
          <w:szCs w:val="36"/>
        </w:rPr>
        <w:t>重庆市忠县黄金镇人民政府</w:t>
      </w:r>
      <w:r>
        <w:rPr>
          <w:rFonts w:ascii="方正小标宋_GBK" w:hAnsi="方正小标宋_GBK" w:eastAsia="方正小标宋_GBK" w:cs="方正小标宋_GBK"/>
          <w:sz w:val="36"/>
          <w:szCs w:val="36"/>
          <w:shd w:val="clear" w:color="auto" w:fill="FFFFFF"/>
        </w:rPr>
        <w:t>2023年度决算公开说明</w:t>
      </w:r>
    </w:p>
    <w:p>
      <w:pPr>
        <w:pStyle w:val="7"/>
        <w:shd w:val="clear" w:color="auto" w:fill="FFFFFF"/>
        <w:rPr>
          <w:rFonts w:hint="default" w:ascii="黑体" w:hAnsi="黑体" w:eastAsia="黑体" w:cs="黑体"/>
          <w:sz w:val="32"/>
          <w:szCs w:val="32"/>
        </w:rPr>
      </w:pPr>
      <w:r>
        <w:rPr>
          <w:rStyle w:val="11"/>
          <w:rFonts w:ascii="黑体" w:hAnsi="黑体" w:eastAsia="黑体" w:cs="黑体"/>
          <w:sz w:val="32"/>
          <w:szCs w:val="32"/>
          <w:shd w:val="clear" w:color="auto" w:fill="FFFFFF"/>
        </w:rPr>
        <w:t>一、部门基本情况</w:t>
      </w:r>
    </w:p>
    <w:p>
      <w:pPr>
        <w:pStyle w:val="7"/>
        <w:shd w:val="clear" w:color="auto" w:fill="FFFFFF"/>
        <w:ind w:firstLine="420"/>
        <w:rPr>
          <w:rFonts w:hint="default" w:ascii="方正仿宋_GBK" w:hAnsi="方正仿宋_GBK" w:eastAsia="方正仿宋_GBK" w:cs="方正仿宋_GBK"/>
          <w:sz w:val="32"/>
          <w:szCs w:val="32"/>
        </w:rPr>
      </w:pPr>
      <w:r>
        <w:rPr>
          <w:rStyle w:val="11"/>
          <w:rFonts w:ascii="楷体" w:hAnsi="楷体" w:eastAsia="楷体" w:cs="楷体"/>
          <w:sz w:val="32"/>
          <w:szCs w:val="32"/>
          <w:shd w:val="clear" w:color="auto" w:fill="FFFFFF"/>
        </w:rPr>
        <w:t>（一）职能职责</w:t>
      </w:r>
    </w:p>
    <w:p>
      <w:pPr>
        <w:keepNext w:val="0"/>
        <w:keepLines w:val="0"/>
        <w:widowControl/>
        <w:suppressLineNumbers w:val="0"/>
        <w:shd w:val="clear" w:fill="FFFFFF"/>
        <w:autoSpaceDE w:val="0"/>
        <w:autoSpaceDN/>
        <w:spacing w:line="594" w:lineRule="exact"/>
        <w:ind w:left="0" w:firstLine="480"/>
        <w:rPr>
          <w:rFonts w:hint="eastAsia" w:ascii="方正仿宋_GBK" w:hAnsi="方正仿宋_GBK" w:eastAsia="方正仿宋_GBK" w:cs="方正仿宋_GBK"/>
          <w:kern w:val="0"/>
          <w:sz w:val="32"/>
          <w:szCs w:val="32"/>
          <w:shd w:val="clear" w:fill="FFFFFF"/>
        </w:rPr>
      </w:pPr>
      <w:r>
        <w:rPr>
          <w:rFonts w:hint="eastAsia" w:ascii="方正仿宋_GBK" w:hAnsi="方正仿宋_GBK" w:eastAsia="方正仿宋_GBK" w:cs="方正仿宋_GBK"/>
          <w:kern w:val="0"/>
          <w:sz w:val="32"/>
          <w:szCs w:val="32"/>
          <w:shd w:val="clear" w:fill="FFFFFF"/>
        </w:rPr>
        <w:t>1.负责宣传贯彻党的路线、方针、政策和国家的法律、法规、规章,执行上级的决定、决议、命令、指示等各项要求任务。</w:t>
      </w:r>
    </w:p>
    <w:p>
      <w:pPr>
        <w:keepNext w:val="0"/>
        <w:keepLines w:val="0"/>
        <w:widowControl/>
        <w:suppressLineNumbers w:val="0"/>
        <w:shd w:val="clear" w:fill="FFFFFF"/>
        <w:autoSpaceDE w:val="0"/>
        <w:autoSpaceDN/>
        <w:spacing w:line="594" w:lineRule="exact"/>
        <w:ind w:left="0" w:firstLine="480"/>
        <w:rPr>
          <w:rFonts w:hint="eastAsia" w:ascii="方正仿宋_GBK" w:hAnsi="方正仿宋_GBK" w:eastAsia="方正仿宋_GBK" w:cs="方正仿宋_GBK"/>
          <w:kern w:val="0"/>
          <w:sz w:val="32"/>
          <w:szCs w:val="32"/>
          <w:shd w:val="clear" w:fill="FFFFFF"/>
        </w:rPr>
      </w:pPr>
      <w:r>
        <w:rPr>
          <w:rFonts w:hint="eastAsia" w:ascii="方正仿宋_GBK" w:hAnsi="方正仿宋_GBK" w:eastAsia="方正仿宋_GBK" w:cs="方正仿宋_GBK"/>
          <w:kern w:val="0"/>
          <w:sz w:val="32"/>
          <w:szCs w:val="32"/>
          <w:shd w:val="clear" w:fill="FFFFFF"/>
        </w:rPr>
        <w:t>2.负责加强党组织的自身建设,按照干部管理权限负责本镇干部的教育、培训、任免、考核、监督工作;负责本镇的党风廉政建设工作;负责村(社区)及所属党组织的党建工作。</w:t>
      </w:r>
    </w:p>
    <w:p>
      <w:pPr>
        <w:keepNext w:val="0"/>
        <w:keepLines w:val="0"/>
        <w:widowControl/>
        <w:suppressLineNumbers w:val="0"/>
        <w:shd w:val="clear" w:fill="FFFFFF"/>
        <w:autoSpaceDE w:val="0"/>
        <w:autoSpaceDN/>
        <w:spacing w:line="594" w:lineRule="exact"/>
        <w:ind w:left="0" w:firstLine="480"/>
        <w:rPr>
          <w:rFonts w:hint="eastAsia" w:ascii="方正仿宋_GBK" w:hAnsi="方正仿宋_GBK" w:eastAsia="方正仿宋_GBK" w:cs="方正仿宋_GBK"/>
          <w:kern w:val="0"/>
          <w:sz w:val="32"/>
          <w:szCs w:val="32"/>
          <w:shd w:val="clear" w:fill="FFFFFF"/>
        </w:rPr>
      </w:pPr>
      <w:r>
        <w:rPr>
          <w:rFonts w:hint="eastAsia" w:ascii="方正仿宋_GBK" w:hAnsi="方正仿宋_GBK" w:eastAsia="方正仿宋_GBK" w:cs="方正仿宋_GBK"/>
          <w:kern w:val="0"/>
          <w:sz w:val="32"/>
          <w:szCs w:val="32"/>
          <w:shd w:val="clear" w:fill="FFFFFF"/>
        </w:rPr>
        <w:t>3.负责社会主义精神文明建设,组织开展创建活动。</w:t>
      </w:r>
    </w:p>
    <w:p>
      <w:pPr>
        <w:keepNext w:val="0"/>
        <w:keepLines w:val="0"/>
        <w:widowControl/>
        <w:suppressLineNumbers w:val="0"/>
        <w:shd w:val="clear" w:fill="FFFFFF"/>
        <w:autoSpaceDE w:val="0"/>
        <w:autoSpaceDN/>
        <w:spacing w:line="594" w:lineRule="exact"/>
        <w:ind w:left="0" w:firstLine="480"/>
        <w:rPr>
          <w:rFonts w:hint="eastAsia" w:ascii="方正仿宋_GBK" w:hAnsi="方正仿宋_GBK" w:eastAsia="方正仿宋_GBK" w:cs="方正仿宋_GBK"/>
          <w:kern w:val="0"/>
          <w:sz w:val="32"/>
          <w:szCs w:val="32"/>
          <w:shd w:val="clear" w:fill="FFFFFF"/>
        </w:rPr>
      </w:pPr>
      <w:r>
        <w:rPr>
          <w:rFonts w:hint="eastAsia" w:ascii="方正仿宋_GBK" w:hAnsi="方正仿宋_GBK" w:eastAsia="方正仿宋_GBK" w:cs="方正仿宋_GBK"/>
          <w:kern w:val="0"/>
          <w:sz w:val="32"/>
          <w:szCs w:val="32"/>
          <w:shd w:val="clear" w:fill="FFFFFF"/>
        </w:rPr>
        <w:t>4.负责人武部、共青团、工会、妇联、残联等方面的领导和工作指导。</w:t>
      </w:r>
    </w:p>
    <w:p>
      <w:pPr>
        <w:keepNext w:val="0"/>
        <w:keepLines w:val="0"/>
        <w:widowControl/>
        <w:suppressLineNumbers w:val="0"/>
        <w:shd w:val="clear" w:fill="FFFFFF"/>
        <w:autoSpaceDE w:val="0"/>
        <w:autoSpaceDN/>
        <w:spacing w:line="594" w:lineRule="exact"/>
        <w:ind w:left="0" w:firstLine="480"/>
        <w:rPr>
          <w:rFonts w:hint="eastAsia" w:ascii="方正仿宋_GBK" w:hAnsi="方正仿宋_GBK" w:eastAsia="方正仿宋_GBK" w:cs="方正仿宋_GBK"/>
          <w:kern w:val="0"/>
          <w:sz w:val="32"/>
          <w:szCs w:val="32"/>
          <w:shd w:val="clear" w:fill="FFFFFF"/>
        </w:rPr>
      </w:pPr>
      <w:r>
        <w:rPr>
          <w:rFonts w:hint="eastAsia" w:ascii="方正仿宋_GBK" w:hAnsi="方正仿宋_GBK" w:eastAsia="方正仿宋_GBK" w:cs="方正仿宋_GBK"/>
          <w:kern w:val="0"/>
          <w:sz w:val="32"/>
          <w:szCs w:val="32"/>
          <w:shd w:val="clear" w:fill="FFFFFF"/>
        </w:rPr>
        <w:t>5.负责全镇的财政、民政、社会保障、经济发展、环境保护、文化事业发展、农林水利发展、规划建设管理等各项社会事务。</w:t>
      </w:r>
    </w:p>
    <w:p>
      <w:pPr>
        <w:pStyle w:val="7"/>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hint="eastAsia" w:ascii="方正仿宋_GBK" w:hAnsi="方正仿宋_GBK" w:eastAsia="方正仿宋_GBK" w:cs="方正仿宋_GBK"/>
          <w:kern w:val="0"/>
          <w:sz w:val="32"/>
          <w:szCs w:val="32"/>
          <w:shd w:val="clear" w:fill="FFFFFF"/>
        </w:rPr>
        <w:t>6.负责完成县委、县政府交办的其他工作</w:t>
      </w:r>
    </w:p>
    <w:p>
      <w:pPr>
        <w:pStyle w:val="7"/>
        <w:shd w:val="clear" w:color="auto" w:fill="FFFFFF"/>
        <w:ind w:firstLine="420"/>
        <w:rPr>
          <w:rFonts w:hint="default" w:ascii="楷体" w:hAnsi="楷体" w:eastAsia="楷体" w:cs="楷体"/>
          <w:sz w:val="32"/>
          <w:szCs w:val="32"/>
        </w:rPr>
      </w:pPr>
      <w:r>
        <w:rPr>
          <w:rStyle w:val="11"/>
          <w:rFonts w:ascii="楷体" w:hAnsi="楷体" w:eastAsia="楷体" w:cs="楷体"/>
          <w:sz w:val="32"/>
          <w:szCs w:val="32"/>
          <w:shd w:val="clear" w:color="auto" w:fill="FFFFFF"/>
        </w:rPr>
        <w:t>（二）机构设置</w:t>
      </w:r>
    </w:p>
    <w:p>
      <w:pPr>
        <w:keepNext w:val="0"/>
        <w:keepLines w:val="0"/>
        <w:widowControl/>
        <w:suppressLineNumbers w:val="0"/>
        <w:shd w:val="clear" w:fill="FFFFFF"/>
        <w:autoSpaceDE w:val="0"/>
        <w:autoSpaceDN/>
        <w:spacing w:line="594" w:lineRule="exact"/>
        <w:ind w:left="0" w:firstLine="480"/>
        <w:rPr>
          <w:rFonts w:hint="eastAsia" w:ascii="方正仿宋_GBK" w:hAnsi="方正仿宋_GBK" w:eastAsia="方正仿宋_GBK" w:cs="方正仿宋_GBK"/>
          <w:kern w:val="0"/>
          <w:sz w:val="32"/>
          <w:szCs w:val="32"/>
          <w:shd w:val="clear" w:fill="FFFFFF"/>
        </w:rPr>
      </w:pPr>
      <w:r>
        <w:rPr>
          <w:rFonts w:hint="eastAsia" w:ascii="方正仿宋_GBK" w:hAnsi="方正仿宋_GBK" w:eastAsia="方正仿宋_GBK" w:cs="方正仿宋_GBK"/>
          <w:kern w:val="0"/>
          <w:sz w:val="32"/>
          <w:szCs w:val="32"/>
          <w:shd w:val="clear" w:fill="FFFFFF"/>
        </w:rPr>
        <w:t>1.党政办公室。主要负责纪检、宣传、编制、人事、统战、民宗侨台、法制、武装以及综合协调、文秘等工作。</w:t>
      </w:r>
    </w:p>
    <w:p>
      <w:pPr>
        <w:keepNext w:val="0"/>
        <w:keepLines w:val="0"/>
        <w:widowControl/>
        <w:suppressLineNumbers w:val="0"/>
        <w:shd w:val="clear" w:fill="FFFFFF"/>
        <w:autoSpaceDE w:val="0"/>
        <w:autoSpaceDN/>
        <w:spacing w:line="594" w:lineRule="exact"/>
        <w:ind w:left="0" w:firstLine="480"/>
        <w:rPr>
          <w:rFonts w:hint="eastAsia" w:ascii="方正仿宋_GBK" w:hAnsi="方正仿宋_GBK" w:eastAsia="方正仿宋_GBK" w:cs="方正仿宋_GBK"/>
          <w:kern w:val="0"/>
          <w:sz w:val="32"/>
          <w:szCs w:val="32"/>
          <w:shd w:val="clear" w:fill="FFFFFF"/>
        </w:rPr>
      </w:pPr>
      <w:r>
        <w:rPr>
          <w:rFonts w:hint="eastAsia" w:ascii="方正仿宋_GBK" w:hAnsi="方正仿宋_GBK" w:eastAsia="方正仿宋_GBK" w:cs="方正仿宋_GBK"/>
          <w:kern w:val="0"/>
          <w:sz w:val="32"/>
          <w:szCs w:val="32"/>
          <w:shd w:val="clear" w:fill="FFFFFF"/>
        </w:rPr>
        <w:t>2.党群工作办公室。主要负责党的建设、群团等工作。</w:t>
      </w:r>
    </w:p>
    <w:p>
      <w:pPr>
        <w:keepNext w:val="0"/>
        <w:keepLines w:val="0"/>
        <w:widowControl/>
        <w:suppressLineNumbers w:val="0"/>
        <w:shd w:val="clear" w:fill="FFFFFF"/>
        <w:autoSpaceDE w:val="0"/>
        <w:autoSpaceDN/>
        <w:spacing w:line="594" w:lineRule="exact"/>
        <w:ind w:left="0" w:firstLine="480"/>
        <w:rPr>
          <w:rFonts w:hint="eastAsia" w:ascii="方正仿宋_GBK" w:hAnsi="方正仿宋_GBK" w:eastAsia="方正仿宋_GBK" w:cs="方正仿宋_GBK"/>
          <w:kern w:val="0"/>
          <w:sz w:val="32"/>
          <w:szCs w:val="32"/>
          <w:shd w:val="clear" w:fill="FFFFFF"/>
        </w:rPr>
      </w:pPr>
      <w:r>
        <w:rPr>
          <w:rFonts w:hint="eastAsia" w:ascii="方正仿宋_GBK" w:hAnsi="方正仿宋_GBK" w:eastAsia="方正仿宋_GBK" w:cs="方正仿宋_GBK"/>
          <w:kern w:val="0"/>
          <w:sz w:val="32"/>
          <w:szCs w:val="32"/>
          <w:shd w:val="clear" w:fill="FFFFFF"/>
        </w:rPr>
        <w:t>3.经济发展办公室。主要负责经济发展规划、农村经营管理、经济社会统计、扶贫开发、内部审计、水利、三峡移民等工作。</w:t>
      </w:r>
    </w:p>
    <w:p>
      <w:pPr>
        <w:keepNext w:val="0"/>
        <w:keepLines w:val="0"/>
        <w:widowControl/>
        <w:suppressLineNumbers w:val="0"/>
        <w:shd w:val="clear" w:fill="FFFFFF"/>
        <w:autoSpaceDE w:val="0"/>
        <w:autoSpaceDN/>
        <w:spacing w:line="594" w:lineRule="exact"/>
        <w:ind w:left="0" w:firstLine="480"/>
        <w:rPr>
          <w:rFonts w:hint="eastAsia" w:ascii="方正仿宋_GBK" w:hAnsi="方正仿宋_GBK" w:eastAsia="方正仿宋_GBK" w:cs="方正仿宋_GBK"/>
          <w:kern w:val="0"/>
          <w:sz w:val="32"/>
          <w:szCs w:val="32"/>
          <w:shd w:val="clear" w:fill="FFFFFF"/>
        </w:rPr>
      </w:pPr>
      <w:r>
        <w:rPr>
          <w:rFonts w:hint="eastAsia" w:ascii="方正仿宋_GBK" w:hAnsi="方正仿宋_GBK" w:eastAsia="方正仿宋_GBK" w:cs="方正仿宋_GBK"/>
          <w:kern w:val="0"/>
          <w:sz w:val="32"/>
          <w:szCs w:val="32"/>
          <w:shd w:val="clear" w:fill="FFFFFF"/>
        </w:rPr>
        <w:t>4.民政和社会事务办公室。主要负责民政、退役军人事务、教育、卫生健康、文化、体育、社会救助、残疾人事业、劳动就业、社会保障等工作。</w:t>
      </w:r>
    </w:p>
    <w:p>
      <w:pPr>
        <w:keepNext w:val="0"/>
        <w:keepLines w:val="0"/>
        <w:widowControl/>
        <w:suppressLineNumbers w:val="0"/>
        <w:shd w:val="clear" w:fill="FFFFFF"/>
        <w:autoSpaceDE w:val="0"/>
        <w:autoSpaceDN/>
        <w:spacing w:line="594" w:lineRule="exact"/>
        <w:ind w:left="0" w:firstLine="480"/>
        <w:rPr>
          <w:rFonts w:hint="eastAsia" w:ascii="方正仿宋_GBK" w:hAnsi="方正仿宋_GBK" w:eastAsia="方正仿宋_GBK" w:cs="方正仿宋_GBK"/>
          <w:kern w:val="0"/>
          <w:sz w:val="32"/>
          <w:szCs w:val="32"/>
          <w:shd w:val="clear" w:fill="FFFFFF"/>
        </w:rPr>
      </w:pPr>
      <w:r>
        <w:rPr>
          <w:rFonts w:hint="eastAsia" w:ascii="方正仿宋_GBK" w:hAnsi="方正仿宋_GBK" w:eastAsia="方正仿宋_GBK" w:cs="方正仿宋_GBK"/>
          <w:kern w:val="0"/>
          <w:sz w:val="32"/>
          <w:szCs w:val="32"/>
          <w:shd w:val="clear" w:fill="FFFFFF"/>
        </w:rPr>
        <w:t>5.平安建设办公室。主要负责信访、人民调解、社会治安综合治理、防范和处理邪教等工作。</w:t>
      </w:r>
    </w:p>
    <w:p>
      <w:pPr>
        <w:keepNext w:val="0"/>
        <w:keepLines w:val="0"/>
        <w:widowControl/>
        <w:suppressLineNumbers w:val="0"/>
        <w:shd w:val="clear" w:fill="FFFFFF"/>
        <w:autoSpaceDE w:val="0"/>
        <w:autoSpaceDN/>
        <w:spacing w:line="594" w:lineRule="exact"/>
        <w:ind w:left="0" w:firstLine="480"/>
        <w:rPr>
          <w:rFonts w:hint="eastAsia" w:ascii="方正仿宋_GBK" w:hAnsi="方正仿宋_GBK" w:eastAsia="方正仿宋_GBK" w:cs="方正仿宋_GBK"/>
          <w:kern w:val="0"/>
          <w:sz w:val="32"/>
          <w:szCs w:val="32"/>
          <w:shd w:val="clear" w:fill="FFFFFF"/>
        </w:rPr>
      </w:pPr>
      <w:r>
        <w:rPr>
          <w:rFonts w:hint="eastAsia" w:ascii="方正仿宋_GBK" w:hAnsi="方正仿宋_GBK" w:eastAsia="方正仿宋_GBK" w:cs="方正仿宋_GBK"/>
          <w:kern w:val="0"/>
          <w:sz w:val="32"/>
          <w:szCs w:val="32"/>
          <w:shd w:val="clear" w:fill="FFFFFF"/>
        </w:rPr>
        <w:t>6.应急管理办公室。主要负责安全生产综合监管、应急管理及协助开展非煤矿山、危险化学品、烟花爆竹等安全生产日常监管工作。</w:t>
      </w:r>
    </w:p>
    <w:p>
      <w:pPr>
        <w:keepNext w:val="0"/>
        <w:keepLines w:val="0"/>
        <w:widowControl/>
        <w:suppressLineNumbers w:val="0"/>
        <w:shd w:val="clear" w:fill="FFFFFF"/>
        <w:autoSpaceDE w:val="0"/>
        <w:autoSpaceDN/>
        <w:spacing w:line="594" w:lineRule="exact"/>
        <w:ind w:left="0" w:firstLine="480"/>
        <w:rPr>
          <w:rFonts w:hint="eastAsia" w:ascii="方正仿宋_GBK" w:hAnsi="方正仿宋_GBK" w:eastAsia="方正仿宋_GBK" w:cs="方正仿宋_GBK"/>
          <w:kern w:val="0"/>
          <w:sz w:val="32"/>
          <w:szCs w:val="32"/>
          <w:shd w:val="clear" w:fill="FFFFFF"/>
        </w:rPr>
      </w:pPr>
      <w:r>
        <w:rPr>
          <w:rFonts w:hint="eastAsia" w:ascii="方正仿宋_GBK" w:hAnsi="方正仿宋_GBK" w:eastAsia="方正仿宋_GBK" w:cs="方正仿宋_GBK"/>
          <w:kern w:val="0"/>
          <w:sz w:val="32"/>
          <w:szCs w:val="32"/>
          <w:shd w:val="clear" w:fill="FFFFFF"/>
        </w:rPr>
        <w:t>7.财政办公室。主要负责财政收支、预决算、总会计、惠农资金兑付、财政资金监督检查、绩效评价、村级财务管理等工作。</w:t>
      </w:r>
    </w:p>
    <w:p>
      <w:pPr>
        <w:keepNext w:val="0"/>
        <w:keepLines w:val="0"/>
        <w:widowControl/>
        <w:suppressLineNumbers w:val="0"/>
        <w:shd w:val="clear" w:fill="FFFFFF"/>
        <w:autoSpaceDE w:val="0"/>
        <w:autoSpaceDN/>
        <w:spacing w:line="594" w:lineRule="exact"/>
        <w:ind w:left="0" w:firstLine="480"/>
        <w:rPr>
          <w:rFonts w:hint="eastAsia" w:ascii="方正仿宋_GBK" w:hAnsi="方正仿宋_GBK" w:eastAsia="方正仿宋_GBK" w:cs="方正仿宋_GBK"/>
          <w:kern w:val="0"/>
          <w:sz w:val="32"/>
          <w:szCs w:val="32"/>
          <w:shd w:val="clear" w:fill="FFFFFF"/>
        </w:rPr>
      </w:pPr>
      <w:r>
        <w:rPr>
          <w:rFonts w:hint="eastAsia" w:ascii="方正仿宋_GBK" w:hAnsi="方正仿宋_GBK" w:eastAsia="方正仿宋_GBK" w:cs="方正仿宋_GBK"/>
          <w:kern w:val="0"/>
          <w:sz w:val="32"/>
          <w:szCs w:val="32"/>
          <w:shd w:val="clear" w:fill="FFFFFF"/>
        </w:rPr>
        <w:t>8.规划建设管理环保办公室。主要负责村镇规划、村镇建设、市政公用、市容环卫、环境保护等工作。</w:t>
      </w:r>
    </w:p>
    <w:p>
      <w:pPr>
        <w:keepNext w:val="0"/>
        <w:keepLines w:val="0"/>
        <w:widowControl/>
        <w:suppressLineNumbers w:val="0"/>
        <w:shd w:val="clear" w:fill="FFFFFF"/>
        <w:autoSpaceDE w:val="0"/>
        <w:autoSpaceDN/>
        <w:spacing w:line="594" w:lineRule="exact"/>
        <w:ind w:left="0" w:firstLine="480"/>
        <w:rPr>
          <w:rFonts w:hint="eastAsia" w:ascii="方正仿宋_GBK" w:hAnsi="方正仿宋_GBK" w:eastAsia="方正仿宋_GBK" w:cs="方正仿宋_GBK"/>
          <w:kern w:val="0"/>
          <w:sz w:val="32"/>
          <w:szCs w:val="32"/>
          <w:shd w:val="clear" w:fill="FFFFFF"/>
        </w:rPr>
      </w:pPr>
      <w:r>
        <w:rPr>
          <w:rFonts w:hint="eastAsia" w:ascii="方正仿宋_GBK" w:hAnsi="方正仿宋_GBK" w:eastAsia="方正仿宋_GBK" w:cs="方正仿宋_GBK"/>
          <w:kern w:val="0"/>
          <w:sz w:val="32"/>
          <w:szCs w:val="32"/>
          <w:shd w:val="clear" w:fill="FFFFFF"/>
        </w:rPr>
        <w:t>9.综合行政执法办公室。主要负责管理镇综合行政执法大队,负责本行政区域综合行政执法工作。</w:t>
      </w:r>
    </w:p>
    <w:p>
      <w:pPr>
        <w:keepNext w:val="0"/>
        <w:keepLines w:val="0"/>
        <w:widowControl/>
        <w:suppressLineNumbers w:val="0"/>
        <w:shd w:val="clear" w:fill="FFFFFF"/>
        <w:autoSpaceDE w:val="0"/>
        <w:autoSpaceDN/>
        <w:spacing w:line="594" w:lineRule="exact"/>
        <w:ind w:left="0" w:firstLine="480"/>
        <w:rPr>
          <w:rFonts w:hint="eastAsia" w:ascii="方正仿宋_GBK" w:hAnsi="方正仿宋_GBK" w:eastAsia="方正仿宋_GBK" w:cs="方正仿宋_GBK"/>
          <w:kern w:val="0"/>
          <w:sz w:val="32"/>
          <w:szCs w:val="32"/>
          <w:shd w:val="clear" w:fill="FFFFFF"/>
        </w:rPr>
      </w:pPr>
      <w:r>
        <w:rPr>
          <w:rFonts w:hint="eastAsia" w:ascii="方正仿宋_GBK" w:hAnsi="方正仿宋_GBK" w:eastAsia="方正仿宋_GBK" w:cs="方正仿宋_GBK"/>
          <w:kern w:val="0"/>
          <w:sz w:val="32"/>
          <w:szCs w:val="32"/>
          <w:shd w:val="clear" w:fill="FFFFFF"/>
        </w:rPr>
        <w:t>10.人大常委会办公室。主要负责人大相关工作。</w:t>
      </w:r>
    </w:p>
    <w:p>
      <w:pPr>
        <w:pStyle w:val="13"/>
        <w:keepNext w:val="0"/>
        <w:keepLines w:val="0"/>
        <w:widowControl/>
        <w:suppressLineNumbers w:val="0"/>
        <w:autoSpaceDE w:val="0"/>
        <w:autoSpaceDN/>
        <w:spacing w:before="0" w:beforeAutospacing="0" w:line="594" w:lineRule="exact"/>
        <w:ind w:left="0" w:firstLine="640" w:firstLineChars="200"/>
        <w:jc w:val="left"/>
        <w:rPr>
          <w:rFonts w:hint="eastAsia" w:ascii="方正仿宋_GBK" w:hAnsi="方正仿宋_GBK" w:eastAsia="方正仿宋_GBK" w:cs="方正仿宋_GBK"/>
          <w:kern w:val="0"/>
          <w:sz w:val="32"/>
          <w:szCs w:val="32"/>
          <w:shd w:val="clear" w:fill="FFFFFF"/>
        </w:rPr>
      </w:pPr>
      <w:r>
        <w:rPr>
          <w:rFonts w:hint="eastAsia" w:ascii="方正仿宋_GBK" w:hAnsi="方正仿宋_GBK" w:eastAsia="方正仿宋_GBK" w:cs="方正仿宋_GBK"/>
          <w:kern w:val="0"/>
          <w:sz w:val="32"/>
          <w:szCs w:val="32"/>
          <w:shd w:val="clear" w:fill="FFFFFF"/>
        </w:rPr>
        <w:t>本政府下设农业服务中心、文化服务中心、劳动就业和社会保障服务所、退役军人服务站、综合行政执法大队五个事业单位。</w:t>
      </w:r>
    </w:p>
    <w:p>
      <w:pPr>
        <w:pStyle w:val="13"/>
        <w:keepNext w:val="0"/>
        <w:keepLines w:val="0"/>
        <w:widowControl/>
        <w:suppressLineNumbers w:val="0"/>
        <w:autoSpaceDE w:val="0"/>
        <w:autoSpaceDN/>
        <w:spacing w:before="0" w:beforeAutospacing="0" w:line="594" w:lineRule="exact"/>
        <w:ind w:left="0" w:firstLine="640" w:firstLineChars="200"/>
        <w:jc w:val="left"/>
        <w:rPr>
          <w:rFonts w:hint="eastAsia" w:ascii="方正仿宋_GBK" w:hAnsi="方正仿宋_GBK" w:eastAsia="方正仿宋_GBK" w:cs="方正仿宋_GBK"/>
          <w:kern w:val="0"/>
          <w:sz w:val="32"/>
          <w:szCs w:val="32"/>
          <w:shd w:val="clear" w:fill="FFFFFF"/>
        </w:rPr>
      </w:pPr>
    </w:p>
    <w:p>
      <w:pPr>
        <w:pStyle w:val="13"/>
        <w:keepNext w:val="0"/>
        <w:keepLines w:val="0"/>
        <w:widowControl/>
        <w:suppressLineNumbers w:val="0"/>
        <w:autoSpaceDE w:val="0"/>
        <w:autoSpaceDN/>
        <w:spacing w:before="0" w:beforeAutospacing="0" w:line="594" w:lineRule="exact"/>
        <w:ind w:left="0"/>
        <w:jc w:val="left"/>
        <w:rPr>
          <w:rFonts w:hint="eastAsia" w:ascii="方正楷体_GBK" w:hAnsi="方正楷体_GBK" w:eastAsia="方正楷体_GBK" w:cs="方正楷体_GBK"/>
          <w:kern w:val="0"/>
          <w:sz w:val="32"/>
          <w:szCs w:val="32"/>
        </w:rPr>
      </w:pPr>
      <w:r>
        <w:rPr>
          <w:rStyle w:val="17"/>
          <w:rFonts w:hint="eastAsia" w:ascii="方正楷体_GBK" w:hAnsi="方正楷体_GBK" w:eastAsia="方正楷体_GBK" w:cs="方正楷体_GBK"/>
          <w:b/>
          <w:bCs/>
          <w:sz w:val="32"/>
          <w:szCs w:val="32"/>
          <w:shd w:val="clear" w:fill="FFFFFF"/>
        </w:rPr>
        <w:t>（三）单位构成</w:t>
      </w:r>
    </w:p>
    <w:p>
      <w:pPr>
        <w:pStyle w:val="13"/>
        <w:keepNext w:val="0"/>
        <w:keepLines w:val="0"/>
        <w:widowControl/>
        <w:suppressLineNumbers w:val="0"/>
        <w:autoSpaceDE w:val="0"/>
        <w:autoSpaceDN/>
        <w:spacing w:before="0" w:beforeAutospacing="0" w:line="594" w:lineRule="exact"/>
        <w:ind w:left="0" w:firstLine="640" w:firstLineChars="200"/>
        <w:jc w:val="left"/>
        <w:rPr>
          <w:rFonts w:hint="eastAsia" w:ascii="方正仿宋_GBK" w:hAnsi="方正仿宋_GBK" w:eastAsia="方正仿宋_GBK" w:cs="方正仿宋_GBK"/>
          <w:kern w:val="0"/>
          <w:sz w:val="32"/>
          <w:szCs w:val="32"/>
          <w:shd w:val="clear" w:fill="FFFFFF"/>
        </w:rPr>
      </w:pPr>
      <w:r>
        <w:rPr>
          <w:rFonts w:hint="eastAsia" w:ascii="方正仿宋_GBK" w:hAnsi="方正仿宋_GBK" w:eastAsia="方正仿宋_GBK" w:cs="方正仿宋_GBK"/>
          <w:kern w:val="0"/>
          <w:sz w:val="32"/>
          <w:szCs w:val="32"/>
          <w:shd w:val="clear" w:fill="FFFFFF"/>
        </w:rPr>
        <w:t>从预算单位构成看，纳入本部门2022年度决算编制的二级预算单位主要包括农业服务中心、文化服务中心、劳动就业和社会保障服务所、退役军人服务站、综合行政执法大队等。</w:t>
      </w:r>
    </w:p>
    <w:p>
      <w:pPr>
        <w:pStyle w:val="7"/>
        <w:shd w:val="clear" w:color="auto" w:fill="FFFFFF"/>
        <w:rPr>
          <w:rStyle w:val="11"/>
          <w:rFonts w:hint="default" w:ascii="黑体" w:hAnsi="黑体" w:eastAsia="黑体" w:cs="黑体"/>
          <w:sz w:val="32"/>
          <w:szCs w:val="32"/>
          <w:shd w:val="clear" w:color="auto" w:fill="FFFFFF"/>
        </w:rPr>
      </w:pPr>
      <w:r>
        <w:rPr>
          <w:rStyle w:val="11"/>
          <w:rFonts w:ascii="黑体" w:hAnsi="黑体" w:eastAsia="黑体" w:cs="黑体"/>
          <w:sz w:val="32"/>
          <w:szCs w:val="32"/>
          <w:shd w:val="clear" w:color="auto" w:fill="FFFFFF"/>
        </w:rPr>
        <w:t>二、部门决算情况说明</w:t>
      </w:r>
    </w:p>
    <w:p>
      <w:pPr>
        <w:pStyle w:val="12"/>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（一）收入支出决算总体情况说明。</w:t>
      </w:r>
    </w:p>
    <w:p>
      <w:pPr>
        <w:pStyle w:val="7"/>
        <w:shd w:val="clear" w:color="auto" w:fill="FFFFFF"/>
        <w:ind w:firstLine="643" w:firstLineChars="200"/>
        <w:rPr>
          <w:rFonts w:hint="default" w:ascii="方正仿宋_GBK" w:hAnsi="方正仿宋_GBK" w:eastAsia="方正仿宋_GBK" w:cs="方正仿宋_GBK"/>
          <w:sz w:val="32"/>
          <w:szCs w:val="32"/>
          <w:shd w:val="clear" w:color="auto" w:fill="FFFFFF"/>
        </w:rPr>
      </w:pPr>
      <w:r>
        <w:rPr>
          <w:rStyle w:val="11"/>
          <w:rFonts w:ascii="方正仿宋_GBK" w:hAnsi="方正仿宋_GBK" w:eastAsia="方正仿宋_GBK" w:cs="方正仿宋_GBK"/>
          <w:sz w:val="32"/>
          <w:szCs w:val="32"/>
          <w:shd w:val="clear" w:color="auto" w:fill="FFFFFF"/>
        </w:rPr>
        <w:t>1.总体情况。</w:t>
      </w:r>
      <w:r>
        <w:rPr>
          <w:rFonts w:ascii="方正仿宋_GBK" w:hAnsi="方正仿宋_GBK" w:eastAsia="方正仿宋_GBK" w:cs="方正仿宋_GBK"/>
          <w:sz w:val="32"/>
          <w:szCs w:val="32"/>
          <w:shd w:val="clear" w:color="auto" w:fill="FFFFFF"/>
        </w:rPr>
        <w:t>2023年度收入总计3825.62万元，支出总计</w:t>
      </w:r>
      <w:r>
        <w:rPr>
          <w:rFonts w:ascii="方正仿宋_GBK" w:hAnsi="方正仿宋_GBK" w:eastAsia="方正仿宋_GBK" w:cs="方正仿宋_GBK"/>
          <w:sz w:val="32"/>
          <w:szCs w:val="32"/>
        </w:rPr>
        <w:t>3825.62</w:t>
      </w:r>
      <w:r>
        <w:rPr>
          <w:rFonts w:ascii="方正仿宋_GBK" w:hAnsi="方正仿宋_GBK" w:eastAsia="方正仿宋_GBK" w:cs="方正仿宋_GBK"/>
          <w:sz w:val="32"/>
          <w:szCs w:val="32"/>
          <w:shd w:val="clear" w:color="auto" w:fill="FFFFFF"/>
        </w:rPr>
        <w:t>万元。收支较上年决算数减少453.91万元，下降10.61%，</w:t>
      </w:r>
      <w:r>
        <w:rPr>
          <w:rFonts w:hint="eastAsia" w:ascii="方正仿宋_GBK" w:hAnsi="方正仿宋_GBK" w:eastAsia="方正仿宋_GBK" w:cs="方正仿宋_GBK"/>
          <w:sz w:val="32"/>
          <w:szCs w:val="32"/>
          <w:shd w:val="clear" w:color="auto" w:fill="FFFFFF"/>
        </w:rPr>
        <w:t>主要原因是人员调出导致人员经费收支减少，政府项目减少导致专项资金收支减少。本部分的收入总计包括收入合计、使用非财政拨款结余、年初结转和结余，支出总计包括本年支出合计、结余分配、年末结转和结余。</w:t>
      </w:r>
    </w:p>
    <w:p>
      <w:pPr>
        <w:pStyle w:val="7"/>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shd w:val="clear" w:color="auto" w:fill="FFFFFF"/>
        </w:rPr>
      </w:pPr>
      <w:r>
        <w:rPr>
          <w:rStyle w:val="11"/>
          <w:rFonts w:ascii="方正仿宋_GBK" w:hAnsi="方正仿宋_GBK" w:eastAsia="方正仿宋_GBK" w:cs="方正仿宋_GBK"/>
          <w:sz w:val="32"/>
          <w:szCs w:val="32"/>
          <w:shd w:val="clear" w:color="auto" w:fill="FFFFFF"/>
        </w:rPr>
        <w:t>2.收入情况。</w:t>
      </w:r>
      <w:r>
        <w:rPr>
          <w:rFonts w:ascii="方正仿宋_GBK" w:hAnsi="方正仿宋_GBK" w:eastAsia="方正仿宋_GBK" w:cs="方正仿宋_GBK"/>
          <w:sz w:val="32"/>
          <w:szCs w:val="32"/>
          <w:shd w:val="clear" w:color="auto" w:fill="FFFFFF"/>
        </w:rPr>
        <w:t>2023年度收入合计3825.62万元，较上年决算数减少453.91万元，下降10.61%，</w:t>
      </w:r>
      <w:r>
        <w:rPr>
          <w:rFonts w:hint="eastAsia" w:ascii="方正仿宋_GBK" w:hAnsi="方正仿宋_GBK" w:eastAsia="方正仿宋_GBK" w:cs="方正仿宋_GBK"/>
          <w:sz w:val="32"/>
          <w:szCs w:val="32"/>
          <w:shd w:val="clear" w:color="auto" w:fill="FFFFFF"/>
        </w:rPr>
        <w:t>主要原因是人员调出导致人员经费收入减少，政府项目减少导致专项资金收入减少。</w:t>
      </w:r>
      <w:r>
        <w:rPr>
          <w:rFonts w:ascii="方正仿宋_GBK" w:hAnsi="方正仿宋_GBK" w:eastAsia="方正仿宋_GBK" w:cs="方正仿宋_GBK"/>
          <w:sz w:val="32"/>
          <w:szCs w:val="32"/>
          <w:shd w:val="clear" w:color="auto" w:fill="FFFFFF"/>
        </w:rPr>
        <w:t>其中：财政拨款收入</w:t>
      </w:r>
      <w:r>
        <w:rPr>
          <w:rFonts w:ascii="方正仿宋_GBK" w:hAnsi="方正仿宋_GBK" w:eastAsia="方正仿宋_GBK" w:cs="方正仿宋_GBK"/>
          <w:sz w:val="32"/>
          <w:szCs w:val="32"/>
        </w:rPr>
        <w:t>3825.62</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100.00</w:t>
      </w:r>
      <w:r>
        <w:rPr>
          <w:rFonts w:ascii="方正仿宋_GBK" w:hAnsi="方正仿宋_GBK" w:eastAsia="方正仿宋_GBK" w:cs="方正仿宋_GBK"/>
          <w:sz w:val="32"/>
          <w:szCs w:val="32"/>
          <w:shd w:val="clear" w:color="auto" w:fill="FFFFFF"/>
        </w:rPr>
        <w:t>%。此外，使用非财政拨款结余和专用结余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万元，年初结转和结余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w:t>
      </w:r>
    </w:p>
    <w:p>
      <w:pPr>
        <w:pStyle w:val="7"/>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shd w:val="clear" w:color="auto" w:fill="FFFFFF"/>
        </w:rPr>
      </w:pPr>
      <w:r>
        <w:rPr>
          <w:rStyle w:val="11"/>
          <w:rFonts w:ascii="方正仿宋_GBK" w:hAnsi="方正仿宋_GBK" w:eastAsia="方正仿宋_GBK" w:cs="方正仿宋_GBK"/>
          <w:sz w:val="32"/>
          <w:szCs w:val="32"/>
          <w:shd w:val="clear" w:color="auto" w:fill="FFFFFF"/>
        </w:rPr>
        <w:t>3.支出情况。</w:t>
      </w:r>
      <w:r>
        <w:rPr>
          <w:rFonts w:ascii="方正仿宋_GBK" w:hAnsi="方正仿宋_GBK" w:eastAsia="方正仿宋_GBK" w:cs="方正仿宋_GBK"/>
          <w:sz w:val="32"/>
          <w:szCs w:val="32"/>
          <w:shd w:val="clear" w:color="auto" w:fill="FFFFFF"/>
        </w:rPr>
        <w:t>2023年度支出合计</w:t>
      </w:r>
      <w:r>
        <w:rPr>
          <w:rFonts w:ascii="方正仿宋_GBK" w:hAnsi="方正仿宋_GBK" w:eastAsia="方正仿宋_GBK" w:cs="方正仿宋_GBK"/>
          <w:sz w:val="32"/>
          <w:szCs w:val="32"/>
        </w:rPr>
        <w:t>3825.62</w:t>
      </w:r>
      <w:r>
        <w:rPr>
          <w:rFonts w:ascii="方正仿宋_GBK" w:hAnsi="方正仿宋_GBK" w:eastAsia="方正仿宋_GBK" w:cs="方正仿宋_GBK"/>
          <w:sz w:val="32"/>
          <w:szCs w:val="32"/>
          <w:shd w:val="clear" w:color="auto" w:fill="FFFFFF"/>
        </w:rPr>
        <w:t>万元，较上年决算数减少453.91万元，下降10.61%，</w:t>
      </w:r>
      <w:r>
        <w:rPr>
          <w:rFonts w:hint="eastAsia" w:ascii="方正仿宋_GBK" w:hAnsi="方正仿宋_GBK" w:eastAsia="方正仿宋_GBK" w:cs="方正仿宋_GBK"/>
          <w:sz w:val="32"/>
          <w:szCs w:val="32"/>
          <w:shd w:val="clear" w:color="auto" w:fill="FFFFFF"/>
        </w:rPr>
        <w:t>主要原因是人员调出导致人员经费支出减少，政府项目减少导致专项资金支出减少。</w:t>
      </w:r>
      <w:r>
        <w:rPr>
          <w:rFonts w:ascii="方正仿宋_GBK" w:hAnsi="方正仿宋_GBK" w:eastAsia="方正仿宋_GBK" w:cs="方正仿宋_GBK"/>
          <w:sz w:val="32"/>
          <w:szCs w:val="32"/>
          <w:shd w:val="clear" w:color="auto" w:fill="FFFFFF"/>
        </w:rPr>
        <w:t>其中：基本支出</w:t>
      </w:r>
      <w:r>
        <w:rPr>
          <w:rFonts w:ascii="方正仿宋_GBK" w:hAnsi="方正仿宋_GBK" w:eastAsia="方正仿宋_GBK" w:cs="方正仿宋_GBK"/>
          <w:sz w:val="32"/>
          <w:szCs w:val="32"/>
        </w:rPr>
        <w:t>1959.73</w:t>
      </w:r>
      <w:r>
        <w:rPr>
          <w:rFonts w:ascii="方正仿宋_GBK" w:hAnsi="方正仿宋_GBK" w:eastAsia="方正仿宋_GBK" w:cs="方正仿宋_GBK"/>
          <w:sz w:val="32"/>
          <w:szCs w:val="32"/>
          <w:shd w:val="clear" w:color="auto" w:fill="FFFFFF"/>
        </w:rPr>
        <w:t>万元，占51.23%；项目支出</w:t>
      </w:r>
      <w:r>
        <w:rPr>
          <w:rFonts w:ascii="方正仿宋_GBK" w:hAnsi="方正仿宋_GBK" w:eastAsia="方正仿宋_GBK" w:cs="方正仿宋_GBK"/>
          <w:sz w:val="32"/>
          <w:szCs w:val="32"/>
        </w:rPr>
        <w:t>1865.89</w:t>
      </w:r>
      <w:r>
        <w:rPr>
          <w:rFonts w:ascii="方正仿宋_GBK" w:hAnsi="方正仿宋_GBK" w:eastAsia="方正仿宋_GBK" w:cs="方正仿宋_GBK"/>
          <w:sz w:val="32"/>
          <w:szCs w:val="32"/>
          <w:shd w:val="clear" w:color="auto" w:fill="FFFFFF"/>
        </w:rPr>
        <w:t>万元，占48.77%；此外，结余分配</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w:t>
      </w:r>
    </w:p>
    <w:p>
      <w:pPr>
        <w:pStyle w:val="7"/>
        <w:snapToGrid w:val="0"/>
        <w:spacing w:before="0" w:beforeAutospacing="0" w:after="0" w:afterAutospacing="0" w:line="600" w:lineRule="exact"/>
        <w:ind w:firstLine="643" w:firstLineChars="200"/>
        <w:jc w:val="both"/>
        <w:rPr>
          <w:rFonts w:hint="eastAsia" w:ascii="方正仿宋_GBK" w:hAnsi="方正仿宋_GBK" w:eastAsia="方正仿宋_GBK" w:cs="方正仿宋_GBK"/>
          <w:sz w:val="32"/>
          <w:szCs w:val="32"/>
          <w:lang w:eastAsia="zh-CN"/>
        </w:rPr>
      </w:pPr>
      <w:r>
        <w:rPr>
          <w:rStyle w:val="11"/>
          <w:rFonts w:ascii="方正仿宋_GBK" w:hAnsi="方正仿宋_GBK" w:eastAsia="方正仿宋_GBK" w:cs="方正仿宋_GBK"/>
          <w:sz w:val="32"/>
          <w:szCs w:val="32"/>
          <w:shd w:val="clear" w:color="auto" w:fill="FFFFFF"/>
        </w:rPr>
        <w:t>4.结转结余情况。</w:t>
      </w:r>
      <w:r>
        <w:rPr>
          <w:rFonts w:ascii="方正仿宋_GBK" w:hAnsi="方正仿宋_GBK" w:eastAsia="方正仿宋_GBK" w:cs="方正仿宋_GBK"/>
          <w:sz w:val="32"/>
          <w:szCs w:val="32"/>
          <w:shd w:val="clear" w:color="auto" w:fill="FFFFFF"/>
        </w:rPr>
        <w:t>2023年度年末结转和结余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w:t>
      </w:r>
      <w:r>
        <w:rPr>
          <w:rFonts w:hint="eastAsia" w:ascii="方正仿宋_GBK" w:hAnsi="方正仿宋_GBK" w:eastAsia="方正仿宋_GBK" w:cs="方正仿宋_GBK"/>
          <w:sz w:val="32"/>
          <w:szCs w:val="32"/>
          <w:shd w:val="clear" w:color="auto" w:fill="FFFFFF"/>
          <w:lang w:eastAsia="zh-CN"/>
        </w:rPr>
        <w:t>，主要原因是收支平衡,无结余。</w:t>
      </w:r>
    </w:p>
    <w:p>
      <w:pPr>
        <w:pStyle w:val="12"/>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（二）财政拨款收入支出决算总体情况说明</w:t>
      </w:r>
    </w:p>
    <w:p>
      <w:pPr>
        <w:pStyle w:val="7"/>
        <w:snapToGrid w:val="0"/>
        <w:spacing w:before="0" w:beforeAutospacing="0" w:after="0" w:afterAutospacing="0" w:line="600" w:lineRule="exact"/>
        <w:ind w:firstLine="640" w:firstLineChars="200"/>
        <w:jc w:val="both"/>
        <w:rPr>
          <w:rFonts w:hint="eastAsia"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2023年度财政拨款收、支总计3825.62万元。与2022年相比，财政拨款收、支总计各减少453.91万元，下降10.61%。</w:t>
      </w:r>
      <w:r>
        <w:rPr>
          <w:rFonts w:hint="eastAsia" w:ascii="方正仿宋_GBK" w:hAnsi="方正仿宋_GBK" w:eastAsia="方正仿宋_GBK" w:cs="方正仿宋_GBK"/>
          <w:sz w:val="32"/>
          <w:szCs w:val="32"/>
          <w:shd w:val="clear" w:color="auto" w:fill="FFFFFF"/>
        </w:rPr>
        <w:t>主要原因是当年项目建设、人员经费、农林水支出等减少。</w:t>
      </w:r>
    </w:p>
    <w:p>
      <w:pPr>
        <w:pStyle w:val="7"/>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shd w:val="clear" w:color="auto" w:fill="FFFFFF"/>
        </w:rPr>
      </w:pPr>
    </w:p>
    <w:p>
      <w:pPr>
        <w:pStyle w:val="12"/>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（三）一般公共预算财政拨款收入支出决算情况说明</w:t>
      </w:r>
    </w:p>
    <w:p>
      <w:pPr>
        <w:pStyle w:val="7"/>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1"/>
          <w:rFonts w:ascii="方正仿宋_GBK" w:hAnsi="方正仿宋_GBK" w:eastAsia="方正仿宋_GBK" w:cs="方正仿宋_GBK"/>
          <w:sz w:val="32"/>
          <w:szCs w:val="32"/>
          <w:shd w:val="clear" w:color="auto" w:fill="FFFFFF"/>
        </w:rPr>
        <w:t>1.收入情况。</w:t>
      </w:r>
      <w:r>
        <w:rPr>
          <w:rFonts w:ascii="方正仿宋_GBK" w:hAnsi="方正仿宋_GBK" w:eastAsia="方正仿宋_GBK" w:cs="方正仿宋_GBK"/>
          <w:sz w:val="32"/>
          <w:szCs w:val="32"/>
          <w:shd w:val="clear" w:color="auto" w:fill="FFFFFF"/>
        </w:rPr>
        <w:t>2023年度一般公共预算财政拨款收入</w:t>
      </w:r>
      <w:r>
        <w:rPr>
          <w:rFonts w:ascii="方正仿宋_GBK" w:hAnsi="方正仿宋_GBK" w:eastAsia="方正仿宋_GBK" w:cs="方正仿宋_GBK"/>
          <w:sz w:val="32"/>
          <w:szCs w:val="32"/>
        </w:rPr>
        <w:t>3744.62</w:t>
      </w:r>
      <w:r>
        <w:rPr>
          <w:rFonts w:ascii="方正仿宋_GBK" w:hAnsi="方正仿宋_GBK" w:eastAsia="方正仿宋_GBK" w:cs="方正仿宋_GBK"/>
          <w:sz w:val="32"/>
          <w:szCs w:val="32"/>
          <w:shd w:val="clear" w:color="auto" w:fill="FFFFFF"/>
        </w:rPr>
        <w:t>万元，较上年决算数减少387.45万元，下降9.38%。</w:t>
      </w:r>
      <w:r>
        <w:rPr>
          <w:rFonts w:hint="eastAsia" w:ascii="方正仿宋_GBK" w:hAnsi="方正仿宋_GBK" w:eastAsia="方正仿宋_GBK" w:cs="方正仿宋_GBK"/>
          <w:sz w:val="32"/>
          <w:szCs w:val="32"/>
          <w:shd w:val="clear" w:color="auto" w:fill="FFFFFF"/>
        </w:rPr>
        <w:t>主要原因是当年项目建设、人员经费、农林水支出等减少。</w:t>
      </w:r>
      <w:r>
        <w:rPr>
          <w:rFonts w:ascii="方正仿宋_GBK" w:hAnsi="方正仿宋_GBK" w:eastAsia="方正仿宋_GBK" w:cs="方正仿宋_GBK"/>
          <w:sz w:val="32"/>
          <w:szCs w:val="32"/>
          <w:shd w:val="clear" w:color="auto" w:fill="FFFFFF"/>
        </w:rPr>
        <w:t>较年初预算数增加715.89万元，增长23.64%。</w:t>
      </w:r>
      <w:r>
        <w:rPr>
          <w:rFonts w:hint="eastAsia" w:ascii="方正仿宋_GBK" w:hAnsi="方正仿宋_GBK" w:eastAsia="方正仿宋_GBK" w:cs="方正仿宋_GBK"/>
          <w:sz w:val="32"/>
          <w:szCs w:val="32"/>
          <w:shd w:val="clear" w:color="auto" w:fill="FFFFFF"/>
        </w:rPr>
        <w:t>主要原因是人员调整及项目预算增加。</w:t>
      </w:r>
      <w:r>
        <w:rPr>
          <w:rFonts w:ascii="方正仿宋_GBK" w:hAnsi="方正仿宋_GBK" w:eastAsia="方正仿宋_GBK" w:cs="方正仿宋_GBK"/>
          <w:sz w:val="32"/>
          <w:szCs w:val="32"/>
          <w:shd w:val="clear" w:color="auto" w:fill="FFFFFF"/>
        </w:rPr>
        <w:t>此外，年初财政拨款结转和结余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w:t>
      </w:r>
    </w:p>
    <w:p>
      <w:pPr>
        <w:pStyle w:val="7"/>
        <w:snapToGrid w:val="0"/>
        <w:spacing w:before="0" w:beforeAutospacing="0" w:after="0" w:afterAutospacing="0" w:line="600" w:lineRule="exact"/>
        <w:ind w:firstLine="643" w:firstLineChars="200"/>
        <w:jc w:val="both"/>
        <w:rPr>
          <w:rFonts w:hint="eastAsia" w:ascii="方正仿宋_GBK" w:hAnsi="方正仿宋_GBK" w:eastAsia="方正仿宋_GBK" w:cs="方正仿宋_GBK"/>
          <w:sz w:val="32"/>
          <w:szCs w:val="32"/>
          <w:shd w:val="clear" w:color="auto" w:fill="FFFFFF"/>
        </w:rPr>
      </w:pPr>
      <w:r>
        <w:rPr>
          <w:rStyle w:val="11"/>
          <w:rFonts w:ascii="方正仿宋_GBK" w:hAnsi="方正仿宋_GBK" w:eastAsia="方正仿宋_GBK" w:cs="方正仿宋_GBK"/>
          <w:sz w:val="32"/>
          <w:szCs w:val="32"/>
          <w:shd w:val="clear" w:color="auto" w:fill="FFFFFF"/>
        </w:rPr>
        <w:t>2.支出情况。</w:t>
      </w:r>
      <w:r>
        <w:rPr>
          <w:rFonts w:ascii="方正仿宋_GBK" w:hAnsi="方正仿宋_GBK" w:eastAsia="方正仿宋_GBK" w:cs="方正仿宋_GBK"/>
          <w:sz w:val="32"/>
          <w:szCs w:val="32"/>
          <w:shd w:val="clear" w:color="auto" w:fill="FFFFFF"/>
        </w:rPr>
        <w:t>2023年度一般公共预算财政拨款支出</w:t>
      </w:r>
      <w:r>
        <w:rPr>
          <w:rFonts w:ascii="方正仿宋_GBK" w:hAnsi="方正仿宋_GBK" w:eastAsia="方正仿宋_GBK" w:cs="方正仿宋_GBK"/>
          <w:sz w:val="32"/>
          <w:szCs w:val="32"/>
        </w:rPr>
        <w:t>3744.62</w:t>
      </w:r>
      <w:r>
        <w:rPr>
          <w:rFonts w:ascii="方正仿宋_GBK" w:hAnsi="方正仿宋_GBK" w:eastAsia="方正仿宋_GBK" w:cs="方正仿宋_GBK"/>
          <w:sz w:val="32"/>
          <w:szCs w:val="32"/>
          <w:shd w:val="clear" w:color="auto" w:fill="FFFFFF"/>
        </w:rPr>
        <w:t>万元，较上年决算数减少387.45万元，下降9.38%。</w:t>
      </w:r>
      <w:r>
        <w:rPr>
          <w:rFonts w:hint="eastAsia" w:ascii="方正仿宋_GBK" w:hAnsi="方正仿宋_GBK" w:eastAsia="方正仿宋_GBK" w:cs="方正仿宋_GBK"/>
          <w:sz w:val="32"/>
          <w:szCs w:val="32"/>
          <w:shd w:val="clear" w:color="auto" w:fill="FFFFFF"/>
        </w:rPr>
        <w:t>主要原因是当年项目建设、人员经费、农林水支出等减少。</w:t>
      </w:r>
      <w:r>
        <w:rPr>
          <w:rFonts w:ascii="方正仿宋_GBK" w:hAnsi="方正仿宋_GBK" w:eastAsia="方正仿宋_GBK" w:cs="方正仿宋_GBK"/>
          <w:sz w:val="32"/>
          <w:szCs w:val="32"/>
          <w:shd w:val="clear" w:color="auto" w:fill="FFFFFF"/>
        </w:rPr>
        <w:t>较年初预算数增加715.89万元，增长23.64%。</w:t>
      </w:r>
      <w:r>
        <w:rPr>
          <w:rFonts w:hint="eastAsia" w:ascii="方正仿宋_GBK" w:hAnsi="方正仿宋_GBK" w:eastAsia="方正仿宋_GBK" w:cs="方正仿宋_GBK"/>
          <w:sz w:val="32"/>
          <w:szCs w:val="32"/>
          <w:shd w:val="clear" w:color="auto" w:fill="FFFFFF"/>
        </w:rPr>
        <w:t>主要原因是年初未纳入预算项目支出增加，主要包括农林水支出、其他支出等。</w:t>
      </w:r>
    </w:p>
    <w:p>
      <w:pPr>
        <w:pStyle w:val="7"/>
        <w:snapToGrid w:val="0"/>
        <w:spacing w:before="0" w:beforeAutospacing="0" w:after="0" w:afterAutospacing="0" w:line="600" w:lineRule="exact"/>
        <w:ind w:firstLine="643" w:firstLineChars="200"/>
        <w:jc w:val="both"/>
        <w:rPr>
          <w:rFonts w:hint="eastAsia" w:ascii="方正仿宋_GBK" w:hAnsi="方正仿宋_GBK" w:eastAsia="方正仿宋_GBK" w:cs="方正仿宋_GBK"/>
          <w:sz w:val="32"/>
          <w:szCs w:val="32"/>
          <w:shd w:val="clear" w:color="auto" w:fill="FFFFFF"/>
        </w:rPr>
      </w:pPr>
      <w:r>
        <w:rPr>
          <w:rStyle w:val="11"/>
          <w:rFonts w:ascii="方正仿宋_GBK" w:hAnsi="方正仿宋_GBK" w:eastAsia="方正仿宋_GBK" w:cs="方正仿宋_GBK"/>
          <w:sz w:val="32"/>
          <w:szCs w:val="32"/>
          <w:shd w:val="clear" w:color="auto" w:fill="FFFFFF"/>
        </w:rPr>
        <w:t>3.结转结余情况。</w:t>
      </w:r>
      <w:r>
        <w:rPr>
          <w:rFonts w:ascii="方正仿宋_GBK" w:hAnsi="方正仿宋_GBK" w:eastAsia="方正仿宋_GBK" w:cs="方正仿宋_GBK"/>
          <w:sz w:val="32"/>
          <w:szCs w:val="32"/>
          <w:shd w:val="clear" w:color="auto" w:fill="FFFFFF"/>
        </w:rPr>
        <w:t>2023年度年末一般公共预算财政拨款结转和结余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万元，0，</w:t>
      </w:r>
      <w:r>
        <w:rPr>
          <w:rFonts w:hint="eastAsia" w:ascii="方正仿宋_GBK" w:hAnsi="方正仿宋_GBK" w:eastAsia="方正仿宋_GBK" w:cs="方正仿宋_GBK"/>
          <w:sz w:val="32"/>
          <w:szCs w:val="32"/>
          <w:shd w:val="clear" w:color="auto" w:fill="FFFFFF"/>
        </w:rPr>
        <w:t>主要原因是收支平衡,无结余。</w:t>
      </w:r>
    </w:p>
    <w:p>
      <w:pPr>
        <w:pStyle w:val="7"/>
        <w:snapToGrid w:val="0"/>
        <w:spacing w:before="0" w:beforeAutospacing="0" w:after="0" w:afterAutospacing="0" w:line="600" w:lineRule="exact"/>
        <w:ind w:firstLine="643" w:firstLineChars="200"/>
        <w:jc w:val="both"/>
        <w:rPr>
          <w:rFonts w:hint="default" w:ascii="方正仿宋_GBK" w:hAnsi="方正仿宋_GBK" w:eastAsia="方正仿宋_GBK" w:cs="方正仿宋_GBK"/>
          <w:color w:val="FF0000"/>
          <w:sz w:val="32"/>
          <w:szCs w:val="32"/>
          <w:highlight w:val="cyan"/>
          <w:shd w:val="clear" w:color="auto" w:fill="FFFFFF"/>
        </w:rPr>
      </w:pPr>
      <w:r>
        <w:rPr>
          <w:rStyle w:val="11"/>
          <w:rFonts w:ascii="方正仿宋_GBK" w:hAnsi="方正仿宋_GBK" w:eastAsia="方正仿宋_GBK" w:cs="方正仿宋_GBK"/>
          <w:sz w:val="32"/>
          <w:szCs w:val="32"/>
          <w:shd w:val="clear" w:color="auto" w:fill="FFFFFF"/>
        </w:rPr>
        <w:t xml:space="preserve"> 4.比较情况。</w:t>
      </w:r>
      <w:r>
        <w:rPr>
          <w:rFonts w:ascii="方正仿宋_GBK" w:hAnsi="方正仿宋_GBK" w:eastAsia="方正仿宋_GBK" w:cs="方正仿宋_GBK"/>
          <w:sz w:val="32"/>
          <w:szCs w:val="32"/>
          <w:shd w:val="clear" w:color="auto" w:fill="FFFFFF"/>
        </w:rPr>
        <w:t>本部门2023年度一般公共预算财政拨款支出主要用于以下几个方面：</w:t>
      </w:r>
    </w:p>
    <w:p>
      <w:pPr>
        <w:pStyle w:val="7"/>
        <w:snapToGrid w:val="0"/>
        <w:spacing w:before="0" w:beforeAutospacing="0" w:after="0" w:afterAutospacing="0" w:line="600" w:lineRule="exact"/>
        <w:ind w:firstLine="640" w:firstLineChars="200"/>
        <w:jc w:val="both"/>
        <w:rPr>
          <w:rFonts w:hint="eastAsia"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（1）一般公共服务支出</w:t>
      </w:r>
      <w:r>
        <w:rPr>
          <w:rFonts w:ascii="方正仿宋_GBK" w:hAnsi="方正仿宋_GBK" w:eastAsia="方正仿宋_GBK" w:cs="方正仿宋_GBK"/>
          <w:sz w:val="32"/>
          <w:szCs w:val="32"/>
        </w:rPr>
        <w:t>903.56</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24.13</w:t>
      </w:r>
      <w:r>
        <w:rPr>
          <w:rFonts w:ascii="方正仿宋_GBK" w:hAnsi="方正仿宋_GBK" w:eastAsia="方正仿宋_GBK" w:cs="方正仿宋_GBK"/>
          <w:sz w:val="32"/>
          <w:szCs w:val="32"/>
          <w:shd w:val="clear" w:color="auto" w:fill="FFFFFF"/>
        </w:rPr>
        <w:t>%，较年初预算数增加185.47万元，增长25.83%，</w:t>
      </w:r>
      <w:r>
        <w:rPr>
          <w:rFonts w:hint="eastAsia" w:ascii="方正仿宋_GBK" w:hAnsi="方正仿宋_GBK" w:eastAsia="方正仿宋_GBK" w:cs="方正仿宋_GBK"/>
          <w:sz w:val="32"/>
          <w:szCs w:val="32"/>
          <w:shd w:val="clear" w:color="auto" w:fill="FFFFFF"/>
        </w:rPr>
        <w:t>主要原因是人员新增调资,相应增加财政拨款收入。</w:t>
      </w:r>
    </w:p>
    <w:p>
      <w:pPr>
        <w:pStyle w:val="7"/>
        <w:snapToGrid w:val="0"/>
        <w:spacing w:before="0" w:beforeAutospacing="0" w:after="0" w:afterAutospacing="0" w:line="600" w:lineRule="exact"/>
        <w:ind w:firstLine="640" w:firstLineChars="200"/>
        <w:jc w:val="both"/>
        <w:rPr>
          <w:rFonts w:hint="eastAsia"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（2）教育支出</w:t>
      </w:r>
      <w:r>
        <w:rPr>
          <w:rFonts w:ascii="方正仿宋_GBK" w:hAnsi="方正仿宋_GBK" w:eastAsia="方正仿宋_GBK" w:cs="方正仿宋_GBK"/>
          <w:sz w:val="32"/>
          <w:szCs w:val="32"/>
        </w:rPr>
        <w:t>4.85</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0.13</w:t>
      </w:r>
      <w:r>
        <w:rPr>
          <w:rFonts w:ascii="方正仿宋_GBK" w:hAnsi="方正仿宋_GBK" w:eastAsia="方正仿宋_GBK" w:cs="方正仿宋_GBK"/>
          <w:sz w:val="32"/>
          <w:szCs w:val="32"/>
          <w:shd w:val="clear" w:color="auto" w:fill="FFFFFF"/>
        </w:rPr>
        <w:t>%，较年初预算数减少0.04万元，下降0.82%，</w:t>
      </w:r>
      <w:r>
        <w:rPr>
          <w:rFonts w:hint="eastAsia" w:ascii="方正仿宋_GBK" w:hAnsi="方正仿宋_GBK" w:eastAsia="方正仿宋_GBK" w:cs="方正仿宋_GBK"/>
          <w:sz w:val="32"/>
          <w:szCs w:val="32"/>
          <w:shd w:val="clear" w:color="auto" w:fill="FFFFFF"/>
        </w:rPr>
        <w:t>主要原因是用于本单位职工及村社干部培训的专项支出</w:t>
      </w:r>
      <w:r>
        <w:rPr>
          <w:rFonts w:hint="eastAsia" w:ascii="方正仿宋_GBK" w:hAnsi="方正仿宋_GBK" w:eastAsia="方正仿宋_GBK" w:cs="方正仿宋_GBK"/>
          <w:sz w:val="32"/>
          <w:szCs w:val="32"/>
          <w:shd w:val="clear" w:color="auto" w:fill="FFFFFF"/>
          <w:lang w:val="en-US" w:eastAsia="zh-CN"/>
        </w:rPr>
        <w:t>减少</w:t>
      </w:r>
      <w:r>
        <w:rPr>
          <w:rFonts w:hint="eastAsia" w:ascii="方正仿宋_GBK" w:hAnsi="方正仿宋_GBK" w:eastAsia="方正仿宋_GBK" w:cs="方正仿宋_GBK"/>
          <w:sz w:val="32"/>
          <w:szCs w:val="32"/>
          <w:shd w:val="clear" w:color="auto" w:fill="FFFFFF"/>
        </w:rPr>
        <w:t>。</w:t>
      </w:r>
    </w:p>
    <w:p>
      <w:pPr>
        <w:pStyle w:val="7"/>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w:t>
      </w:r>
      <w:r>
        <w:rPr>
          <w:rFonts w:hint="eastAsia" w:ascii="方正仿宋_GBK" w:hAnsi="方正仿宋_GBK" w:eastAsia="方正仿宋_GBK" w:cs="方正仿宋_GBK"/>
          <w:sz w:val="32"/>
          <w:szCs w:val="32"/>
          <w:shd w:val="clear" w:color="auto" w:fill="FFFFFF"/>
          <w:lang w:val="en-US" w:eastAsia="zh-CN"/>
        </w:rPr>
        <w:t>3</w:t>
      </w:r>
      <w:r>
        <w:rPr>
          <w:rFonts w:ascii="方正仿宋_GBK" w:hAnsi="方正仿宋_GBK" w:eastAsia="方正仿宋_GBK" w:cs="方正仿宋_GBK"/>
          <w:sz w:val="32"/>
          <w:szCs w:val="32"/>
          <w:shd w:val="clear" w:color="auto" w:fill="FFFFFF"/>
        </w:rPr>
        <w:t>）文化旅游体育与传媒支出</w:t>
      </w:r>
      <w:r>
        <w:rPr>
          <w:rFonts w:ascii="方正仿宋_GBK" w:hAnsi="方正仿宋_GBK" w:eastAsia="方正仿宋_GBK" w:cs="方正仿宋_GBK"/>
          <w:sz w:val="32"/>
          <w:szCs w:val="32"/>
        </w:rPr>
        <w:t>61.20</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1.63</w:t>
      </w:r>
      <w:r>
        <w:rPr>
          <w:rFonts w:ascii="方正仿宋_GBK" w:hAnsi="方正仿宋_GBK" w:eastAsia="方正仿宋_GBK" w:cs="方正仿宋_GBK"/>
          <w:sz w:val="32"/>
          <w:szCs w:val="32"/>
          <w:shd w:val="clear" w:color="auto" w:fill="FFFFFF"/>
        </w:rPr>
        <w:t>%，较年初预算数增加13.21万元，增长27.53%，</w:t>
      </w:r>
      <w:r>
        <w:rPr>
          <w:rFonts w:hint="eastAsia" w:ascii="方正仿宋_GBK" w:hAnsi="方正仿宋_GBK" w:eastAsia="方正仿宋_GBK" w:cs="方正仿宋_GBK"/>
          <w:sz w:val="32"/>
          <w:szCs w:val="32"/>
          <w:shd w:val="clear" w:color="auto" w:fill="FFFFFF"/>
        </w:rPr>
        <w:t>主要原因是用于发展文化事业专项支出增加。</w:t>
      </w:r>
    </w:p>
    <w:p>
      <w:pPr>
        <w:pStyle w:val="7"/>
        <w:snapToGrid w:val="0"/>
        <w:spacing w:before="0" w:beforeAutospacing="0" w:after="0" w:afterAutospacing="0" w:line="600" w:lineRule="exact"/>
        <w:ind w:firstLine="640" w:firstLineChars="200"/>
        <w:jc w:val="both"/>
        <w:rPr>
          <w:rFonts w:hint="eastAsia" w:ascii="方正仿宋_GBK" w:hAnsi="方正仿宋_GBK" w:eastAsia="方正仿宋_GBK" w:cs="方正仿宋_GBK"/>
          <w:sz w:val="32"/>
          <w:szCs w:val="32"/>
          <w:lang w:val="en-US" w:eastAsia="zh-CN"/>
        </w:rPr>
      </w:pPr>
      <w:r>
        <w:rPr>
          <w:rFonts w:ascii="方正仿宋_GBK" w:hAnsi="方正仿宋_GBK" w:eastAsia="方正仿宋_GBK" w:cs="方正仿宋_GBK"/>
          <w:sz w:val="32"/>
          <w:szCs w:val="32"/>
          <w:shd w:val="clear" w:color="auto" w:fill="FFFFFF"/>
        </w:rPr>
        <w:t>（</w:t>
      </w:r>
      <w:r>
        <w:rPr>
          <w:rFonts w:hint="eastAsia" w:ascii="方正仿宋_GBK" w:hAnsi="方正仿宋_GBK" w:eastAsia="方正仿宋_GBK" w:cs="方正仿宋_GBK"/>
          <w:sz w:val="32"/>
          <w:szCs w:val="32"/>
          <w:shd w:val="clear" w:color="auto" w:fill="FFFFFF"/>
          <w:lang w:val="en-US" w:eastAsia="zh-CN"/>
        </w:rPr>
        <w:t>4</w:t>
      </w:r>
      <w:r>
        <w:rPr>
          <w:rFonts w:ascii="方正仿宋_GBK" w:hAnsi="方正仿宋_GBK" w:eastAsia="方正仿宋_GBK" w:cs="方正仿宋_GBK"/>
          <w:sz w:val="32"/>
          <w:szCs w:val="32"/>
          <w:shd w:val="clear" w:color="auto" w:fill="FFFFFF"/>
        </w:rPr>
        <w:t>）社会保障与就业支出</w:t>
      </w:r>
      <w:r>
        <w:rPr>
          <w:rFonts w:ascii="方正仿宋_GBK" w:hAnsi="方正仿宋_GBK" w:eastAsia="方正仿宋_GBK" w:cs="方正仿宋_GBK"/>
          <w:sz w:val="32"/>
          <w:szCs w:val="32"/>
        </w:rPr>
        <w:t>1342.08</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35.84</w:t>
      </w:r>
      <w:r>
        <w:rPr>
          <w:rFonts w:ascii="方正仿宋_GBK" w:hAnsi="方正仿宋_GBK" w:eastAsia="方正仿宋_GBK" w:cs="方正仿宋_GBK"/>
          <w:sz w:val="32"/>
          <w:szCs w:val="32"/>
          <w:shd w:val="clear" w:color="auto" w:fill="FFFFFF"/>
        </w:rPr>
        <w:t>%，较年初预算数增加120.92万元，增长9.90%，</w:t>
      </w:r>
      <w:r>
        <w:rPr>
          <w:rFonts w:hint="eastAsia" w:ascii="方正仿宋_GBK" w:hAnsi="方正仿宋_GBK" w:eastAsia="方正仿宋_GBK" w:cs="方正仿宋_GBK"/>
          <w:sz w:val="32"/>
          <w:szCs w:val="32"/>
          <w:shd w:val="clear" w:color="auto" w:fill="FFFFFF"/>
        </w:rPr>
        <w:t>主要原因是本单位2022年人员调资、新进（调）入人员以及保险费率提高导致社会保障与就业支出增加</w:t>
      </w:r>
      <w:r>
        <w:rPr>
          <w:rFonts w:hint="eastAsia" w:ascii="方正仿宋_GBK" w:hAnsi="方正仿宋_GBK" w:eastAsia="方正仿宋_GBK" w:cs="方正仿宋_GBK"/>
          <w:sz w:val="32"/>
          <w:szCs w:val="32"/>
          <w:shd w:val="clear" w:color="auto" w:fill="FFFFFF"/>
          <w:lang w:eastAsia="zh-CN"/>
        </w:rPr>
        <w:t>。</w:t>
      </w:r>
    </w:p>
    <w:p>
      <w:pPr>
        <w:pStyle w:val="7"/>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w:t>
      </w:r>
      <w:r>
        <w:rPr>
          <w:rFonts w:hint="eastAsia" w:ascii="方正仿宋_GBK" w:hAnsi="方正仿宋_GBK" w:eastAsia="方正仿宋_GBK" w:cs="方正仿宋_GBK"/>
          <w:sz w:val="32"/>
          <w:szCs w:val="32"/>
          <w:shd w:val="clear" w:color="auto" w:fill="FFFFFF"/>
          <w:lang w:val="en-US" w:eastAsia="zh-CN"/>
        </w:rPr>
        <w:t>5</w:t>
      </w:r>
      <w:r>
        <w:rPr>
          <w:rFonts w:ascii="方正仿宋_GBK" w:hAnsi="方正仿宋_GBK" w:eastAsia="方正仿宋_GBK" w:cs="方正仿宋_GBK"/>
          <w:sz w:val="32"/>
          <w:szCs w:val="32"/>
          <w:shd w:val="clear" w:color="auto" w:fill="FFFFFF"/>
        </w:rPr>
        <w:t>）卫生健康支出</w:t>
      </w:r>
      <w:r>
        <w:rPr>
          <w:rFonts w:ascii="方正仿宋_GBK" w:hAnsi="方正仿宋_GBK" w:eastAsia="方正仿宋_GBK" w:cs="方正仿宋_GBK"/>
          <w:sz w:val="32"/>
          <w:szCs w:val="32"/>
        </w:rPr>
        <w:t>74.82</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2.00</w:t>
      </w:r>
      <w:r>
        <w:rPr>
          <w:rFonts w:ascii="方正仿宋_GBK" w:hAnsi="方正仿宋_GBK" w:eastAsia="方正仿宋_GBK" w:cs="方正仿宋_GBK"/>
          <w:sz w:val="32"/>
          <w:szCs w:val="32"/>
          <w:shd w:val="clear" w:color="auto" w:fill="FFFFFF"/>
        </w:rPr>
        <w:t>%，较年初预算数减少0.22万元，下降0.29%，</w:t>
      </w:r>
      <w:r>
        <w:rPr>
          <w:rFonts w:hint="eastAsia" w:ascii="方正仿宋_GBK" w:hAnsi="方正仿宋_GBK" w:eastAsia="方正仿宋_GBK" w:cs="方正仿宋_GBK"/>
          <w:sz w:val="32"/>
          <w:szCs w:val="32"/>
          <w:shd w:val="clear" w:color="auto" w:fill="FFFFFF"/>
        </w:rPr>
        <w:t>主要原因是人员调整</w:t>
      </w:r>
      <w:r>
        <w:rPr>
          <w:rFonts w:hint="eastAsia" w:ascii="方正仿宋_GBK" w:hAnsi="方正仿宋_GBK" w:eastAsia="方正仿宋_GBK" w:cs="方正仿宋_GBK"/>
          <w:sz w:val="32"/>
          <w:szCs w:val="32"/>
          <w:shd w:val="clear" w:color="auto" w:fill="FFFFFF"/>
          <w:lang w:val="en-US" w:eastAsia="zh-CN"/>
        </w:rPr>
        <w:t>减</w:t>
      </w:r>
      <w:r>
        <w:rPr>
          <w:rFonts w:hint="eastAsia" w:ascii="方正仿宋_GBK" w:hAnsi="方正仿宋_GBK" w:eastAsia="方正仿宋_GBK" w:cs="方正仿宋_GBK"/>
          <w:sz w:val="32"/>
          <w:szCs w:val="32"/>
          <w:shd w:val="clear" w:color="auto" w:fill="FFFFFF"/>
        </w:rPr>
        <w:t>资。</w:t>
      </w:r>
    </w:p>
    <w:p>
      <w:pPr>
        <w:pStyle w:val="7"/>
        <w:snapToGrid w:val="0"/>
        <w:spacing w:before="0" w:beforeAutospacing="0" w:after="0" w:afterAutospacing="0" w:line="600" w:lineRule="exact"/>
        <w:ind w:firstLine="640" w:firstLineChars="200"/>
        <w:jc w:val="both"/>
        <w:rPr>
          <w:rFonts w:hint="eastAsia"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w:t>
      </w:r>
      <w:r>
        <w:rPr>
          <w:rFonts w:hint="eastAsia" w:ascii="方正仿宋_GBK" w:hAnsi="方正仿宋_GBK" w:eastAsia="方正仿宋_GBK" w:cs="方正仿宋_GBK"/>
          <w:sz w:val="32"/>
          <w:szCs w:val="32"/>
          <w:shd w:val="clear" w:color="auto" w:fill="FFFFFF"/>
          <w:lang w:val="en-US" w:eastAsia="zh-CN"/>
        </w:rPr>
        <w:t>6</w:t>
      </w:r>
      <w:r>
        <w:rPr>
          <w:rFonts w:ascii="方正仿宋_GBK" w:hAnsi="方正仿宋_GBK" w:eastAsia="方正仿宋_GBK" w:cs="方正仿宋_GBK"/>
          <w:sz w:val="32"/>
          <w:szCs w:val="32"/>
          <w:shd w:val="clear" w:color="auto" w:fill="FFFFFF"/>
        </w:rPr>
        <w:t>）节能环保支出</w:t>
      </w:r>
      <w:r>
        <w:rPr>
          <w:rFonts w:ascii="方正仿宋_GBK" w:hAnsi="方正仿宋_GBK" w:eastAsia="方正仿宋_GBK" w:cs="方正仿宋_GBK"/>
          <w:sz w:val="32"/>
          <w:szCs w:val="32"/>
        </w:rPr>
        <w:t>109.00</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2.91</w:t>
      </w:r>
      <w:r>
        <w:rPr>
          <w:rFonts w:ascii="方正仿宋_GBK" w:hAnsi="方正仿宋_GBK" w:eastAsia="方正仿宋_GBK" w:cs="方正仿宋_GBK"/>
          <w:sz w:val="32"/>
          <w:szCs w:val="32"/>
          <w:shd w:val="clear" w:color="auto" w:fill="FFFFFF"/>
        </w:rPr>
        <w:t>%，较年初预算数增加109.00万元，增长100.00%，</w:t>
      </w:r>
      <w:r>
        <w:rPr>
          <w:rFonts w:hint="eastAsia" w:ascii="方正仿宋_GBK" w:hAnsi="方正仿宋_GBK" w:eastAsia="方正仿宋_GBK" w:cs="方正仿宋_GBK"/>
          <w:sz w:val="32"/>
          <w:szCs w:val="32"/>
          <w:shd w:val="clear" w:color="auto" w:fill="FFFFFF"/>
        </w:rPr>
        <w:t>主要原因是本单位202</w:t>
      </w:r>
      <w:r>
        <w:rPr>
          <w:rFonts w:hint="eastAsia" w:ascii="方正仿宋_GBK" w:hAnsi="方正仿宋_GBK" w:eastAsia="方正仿宋_GBK" w:cs="方正仿宋_GBK"/>
          <w:sz w:val="32"/>
          <w:szCs w:val="32"/>
          <w:shd w:val="clear" w:color="auto" w:fill="FFFFFF"/>
          <w:lang w:val="en-US" w:eastAsia="zh-CN"/>
        </w:rPr>
        <w:t>3</w:t>
      </w:r>
      <w:r>
        <w:rPr>
          <w:rFonts w:hint="eastAsia" w:ascii="方正仿宋_GBK" w:hAnsi="方正仿宋_GBK" w:eastAsia="方正仿宋_GBK" w:cs="方正仿宋_GBK"/>
          <w:sz w:val="32"/>
          <w:szCs w:val="32"/>
          <w:shd w:val="clear" w:color="auto" w:fill="FFFFFF"/>
        </w:rPr>
        <w:t>年节能环保支出严格按照预算数执行。</w:t>
      </w:r>
    </w:p>
    <w:p>
      <w:pPr>
        <w:pStyle w:val="7"/>
        <w:snapToGrid w:val="0"/>
        <w:spacing w:before="0" w:beforeAutospacing="0" w:after="0" w:afterAutospacing="0" w:line="600" w:lineRule="exact"/>
        <w:ind w:firstLine="640" w:firstLineChars="200"/>
        <w:jc w:val="both"/>
        <w:rPr>
          <w:rFonts w:hint="eastAsia"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w:t>
      </w:r>
      <w:r>
        <w:rPr>
          <w:rFonts w:hint="eastAsia" w:ascii="方正仿宋_GBK" w:hAnsi="方正仿宋_GBK" w:eastAsia="方正仿宋_GBK" w:cs="方正仿宋_GBK"/>
          <w:sz w:val="32"/>
          <w:szCs w:val="32"/>
          <w:shd w:val="clear" w:color="auto" w:fill="FFFFFF"/>
          <w:lang w:val="en-US" w:eastAsia="zh-CN"/>
        </w:rPr>
        <w:t>7</w:t>
      </w:r>
      <w:r>
        <w:rPr>
          <w:rFonts w:ascii="方正仿宋_GBK" w:hAnsi="方正仿宋_GBK" w:eastAsia="方正仿宋_GBK" w:cs="方正仿宋_GBK"/>
          <w:sz w:val="32"/>
          <w:szCs w:val="32"/>
          <w:shd w:val="clear" w:color="auto" w:fill="FFFFFF"/>
        </w:rPr>
        <w:t>）城乡社区支出</w:t>
      </w:r>
      <w:r>
        <w:rPr>
          <w:rFonts w:ascii="方正仿宋_GBK" w:hAnsi="方正仿宋_GBK" w:eastAsia="方正仿宋_GBK" w:cs="方正仿宋_GBK"/>
          <w:sz w:val="32"/>
          <w:szCs w:val="32"/>
        </w:rPr>
        <w:t>66.27</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1.77</w:t>
      </w:r>
      <w:r>
        <w:rPr>
          <w:rFonts w:ascii="方正仿宋_GBK" w:hAnsi="方正仿宋_GBK" w:eastAsia="方正仿宋_GBK" w:cs="方正仿宋_GBK"/>
          <w:sz w:val="32"/>
          <w:szCs w:val="32"/>
          <w:shd w:val="clear" w:color="auto" w:fill="FFFFFF"/>
        </w:rPr>
        <w:t>%，较年初预算数增加5.00万元，增长8.16%，</w:t>
      </w:r>
      <w:r>
        <w:rPr>
          <w:rFonts w:hint="eastAsia" w:ascii="方正仿宋_GBK" w:hAnsi="方正仿宋_GBK" w:eastAsia="方正仿宋_GBK" w:cs="方正仿宋_GBK"/>
          <w:sz w:val="32"/>
          <w:szCs w:val="32"/>
          <w:shd w:val="clear" w:color="auto" w:fill="FFFFFF"/>
        </w:rPr>
        <w:t>主要原因是人员调资增加开支。</w:t>
      </w:r>
    </w:p>
    <w:p>
      <w:pPr>
        <w:pStyle w:val="7"/>
        <w:snapToGrid w:val="0"/>
        <w:spacing w:before="0" w:beforeAutospacing="0" w:after="0" w:afterAutospacing="0" w:line="600" w:lineRule="exact"/>
        <w:ind w:firstLine="640" w:firstLineChars="200"/>
        <w:jc w:val="both"/>
        <w:rPr>
          <w:rFonts w:hint="default" w:ascii="方正仿宋_GBK" w:hAnsi="方正仿宋_GBK" w:eastAsia="方正仿宋_GBK" w:cs="方正仿宋_GBK"/>
          <w:color w:val="FF0000"/>
          <w:sz w:val="32"/>
          <w:szCs w:val="32"/>
          <w:shd w:val="clear" w:color="auto" w:fill="FFFFFF"/>
        </w:rPr>
      </w:pPr>
      <w:r>
        <w:rPr>
          <w:rFonts w:ascii="方正仿宋_GBK" w:hAnsi="方正仿宋_GBK" w:eastAsia="方正仿宋_GBK" w:cs="方正仿宋_GBK"/>
          <w:sz w:val="32"/>
          <w:szCs w:val="32"/>
          <w:shd w:val="clear" w:color="auto" w:fill="FFFFFF"/>
        </w:rPr>
        <w:t>（</w:t>
      </w:r>
      <w:r>
        <w:rPr>
          <w:rFonts w:hint="eastAsia" w:ascii="方正仿宋_GBK" w:hAnsi="方正仿宋_GBK" w:eastAsia="方正仿宋_GBK" w:cs="方正仿宋_GBK"/>
          <w:sz w:val="32"/>
          <w:szCs w:val="32"/>
          <w:shd w:val="clear" w:color="auto" w:fill="FFFFFF"/>
          <w:lang w:val="en-US" w:eastAsia="zh-CN"/>
        </w:rPr>
        <w:t>8</w:t>
      </w:r>
      <w:r>
        <w:rPr>
          <w:rFonts w:ascii="方正仿宋_GBK" w:hAnsi="方正仿宋_GBK" w:eastAsia="方正仿宋_GBK" w:cs="方正仿宋_GBK"/>
          <w:sz w:val="32"/>
          <w:szCs w:val="32"/>
          <w:shd w:val="clear" w:color="auto" w:fill="FFFFFF"/>
        </w:rPr>
        <w:t>）农林水支出</w:t>
      </w:r>
      <w:r>
        <w:rPr>
          <w:rFonts w:ascii="方正仿宋_GBK" w:hAnsi="方正仿宋_GBK" w:eastAsia="方正仿宋_GBK" w:cs="方正仿宋_GBK"/>
          <w:sz w:val="32"/>
          <w:szCs w:val="32"/>
        </w:rPr>
        <w:t>944.75</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25.23</w:t>
      </w:r>
      <w:r>
        <w:rPr>
          <w:rFonts w:ascii="方正仿宋_GBK" w:hAnsi="方正仿宋_GBK" w:eastAsia="方正仿宋_GBK" w:cs="方正仿宋_GBK"/>
          <w:sz w:val="32"/>
          <w:szCs w:val="32"/>
          <w:shd w:val="clear" w:color="auto" w:fill="FFFFFF"/>
        </w:rPr>
        <w:t>%，较年初预算数增加144.48万元，增长18.05%，</w:t>
      </w:r>
      <w:r>
        <w:rPr>
          <w:rFonts w:hint="eastAsia" w:ascii="方正仿宋_GBK" w:hAnsi="方正仿宋_GBK" w:eastAsia="方正仿宋_GBK" w:cs="方正仿宋_GBK"/>
          <w:sz w:val="32"/>
          <w:szCs w:val="32"/>
          <w:shd w:val="clear" w:color="auto" w:fill="FFFFFF"/>
        </w:rPr>
        <w:t>主要原因是人员调资及项目支出增加</w:t>
      </w:r>
      <w:r>
        <w:rPr>
          <w:rFonts w:hint="eastAsia" w:ascii="方正仿宋_GBK" w:hAnsi="方正仿宋_GBK" w:eastAsia="方正仿宋_GBK" w:cs="方正仿宋_GBK"/>
          <w:sz w:val="32"/>
          <w:szCs w:val="32"/>
          <w:shd w:val="clear" w:color="auto" w:fill="FFFFFF"/>
          <w:lang w:eastAsia="zh-CN"/>
        </w:rPr>
        <w:t>。</w:t>
      </w:r>
    </w:p>
    <w:p>
      <w:pPr>
        <w:ind w:firstLine="640" w:firstLineChars="200"/>
        <w:rPr>
          <w:rFonts w:hint="eastAsia"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w:t>
      </w:r>
      <w:r>
        <w:rPr>
          <w:rFonts w:hint="eastAsia" w:ascii="方正仿宋_GBK" w:hAnsi="方正仿宋_GBK" w:eastAsia="方正仿宋_GBK" w:cs="方正仿宋_GBK"/>
          <w:sz w:val="32"/>
          <w:szCs w:val="32"/>
          <w:shd w:val="clear" w:color="auto" w:fill="FFFFFF"/>
          <w:lang w:val="en-US" w:eastAsia="zh-CN"/>
        </w:rPr>
        <w:t>9</w:t>
      </w:r>
      <w:r>
        <w:rPr>
          <w:rFonts w:ascii="方正仿宋_GBK" w:hAnsi="方正仿宋_GBK" w:eastAsia="方正仿宋_GBK" w:cs="方正仿宋_GBK"/>
          <w:sz w:val="32"/>
          <w:szCs w:val="32"/>
          <w:shd w:val="clear" w:color="auto" w:fill="FFFFFF"/>
        </w:rPr>
        <w:t>）</w:t>
      </w:r>
      <w:r>
        <w:rPr>
          <w:rFonts w:ascii="方正仿宋_GBK" w:hAnsi="方正仿宋_GBK" w:eastAsia="方正仿宋_GBK" w:cs="方正仿宋_GBK"/>
          <w:sz w:val="32"/>
          <w:szCs w:val="32"/>
        </w:rPr>
        <w:t>住房保障支出99.00</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2.64</w:t>
      </w:r>
      <w:r>
        <w:rPr>
          <w:rFonts w:ascii="方正仿宋_GBK" w:hAnsi="方正仿宋_GBK" w:eastAsia="方正仿宋_GBK" w:cs="方正仿宋_GBK"/>
          <w:sz w:val="32"/>
          <w:szCs w:val="32"/>
          <w:shd w:val="clear" w:color="auto" w:fill="FFFFFF"/>
        </w:rPr>
        <w:t>%，较年初预算数减少1.02万元，下降1.02%，</w:t>
      </w:r>
      <w:r>
        <w:rPr>
          <w:rFonts w:hint="eastAsia" w:ascii="方正仿宋_GBK" w:hAnsi="方正仿宋_GBK" w:eastAsia="方正仿宋_GBK" w:cs="方正仿宋_GBK"/>
          <w:sz w:val="32"/>
          <w:szCs w:val="32"/>
          <w:shd w:val="clear" w:color="auto" w:fill="FFFFFF"/>
        </w:rPr>
        <w:t>主要原因是人员变动，保障支出减少。</w:t>
      </w:r>
    </w:p>
    <w:p>
      <w:pPr>
        <w:ind w:firstLine="640" w:firstLineChars="200"/>
        <w:rPr>
          <w:rFonts w:hint="default" w:ascii="方正仿宋_GBK" w:hAnsi="方正仿宋_GBK" w:eastAsia="方正仿宋_GBK" w:cs="方正仿宋_GBK"/>
          <w:sz w:val="32"/>
          <w:szCs w:val="32"/>
          <w:shd w:val="clear" w:color="auto" w:fill="FFFFFF"/>
          <w:lang w:val="en-US" w:eastAsia="zh-CN"/>
        </w:rPr>
      </w:pPr>
      <w:r>
        <w:rPr>
          <w:rFonts w:ascii="方正仿宋_GBK" w:hAnsi="方正仿宋_GBK" w:eastAsia="方正仿宋_GBK" w:cs="方正仿宋_GBK"/>
          <w:sz w:val="32"/>
          <w:szCs w:val="32"/>
          <w:shd w:val="clear" w:color="auto" w:fill="FFFFFF"/>
        </w:rPr>
        <w:t>（</w:t>
      </w:r>
      <w:r>
        <w:rPr>
          <w:rFonts w:hint="eastAsia" w:ascii="方正仿宋_GBK" w:hAnsi="方正仿宋_GBK" w:eastAsia="方正仿宋_GBK" w:cs="方正仿宋_GBK"/>
          <w:sz w:val="32"/>
          <w:szCs w:val="32"/>
          <w:shd w:val="clear" w:color="auto" w:fill="FFFFFF"/>
          <w:lang w:val="en-US" w:eastAsia="zh-CN"/>
        </w:rPr>
        <w:t>10</w:t>
      </w:r>
      <w:r>
        <w:rPr>
          <w:rFonts w:ascii="方正仿宋_GBK" w:hAnsi="方正仿宋_GBK" w:eastAsia="方正仿宋_GBK" w:cs="方正仿宋_GBK"/>
          <w:sz w:val="32"/>
          <w:szCs w:val="32"/>
          <w:shd w:val="clear" w:color="auto" w:fill="FFFFFF"/>
        </w:rPr>
        <w:t>）</w:t>
      </w:r>
      <w:r>
        <w:rPr>
          <w:rFonts w:ascii="方正仿宋_GBK" w:hAnsi="方正仿宋_GBK" w:eastAsia="方正仿宋_GBK" w:cs="方正仿宋_GBK"/>
          <w:sz w:val="32"/>
          <w:szCs w:val="32"/>
        </w:rPr>
        <w:t>灾害防治及应急管理支出139.09</w:t>
      </w:r>
      <w:r>
        <w:rPr>
          <w:rFonts w:ascii="方正仿宋_GBK" w:hAnsi="方正仿宋_GBK" w:eastAsia="方正仿宋_GBK" w:cs="方正仿宋_GBK"/>
          <w:sz w:val="32"/>
          <w:szCs w:val="32"/>
          <w:shd w:val="clear" w:color="auto" w:fill="FFFFFF"/>
        </w:rPr>
        <w:t>万元，占</w:t>
      </w:r>
      <w:r>
        <w:rPr>
          <w:rFonts w:ascii="方正仿宋_GBK" w:hAnsi="方正仿宋_GBK" w:eastAsia="方正仿宋_GBK" w:cs="方正仿宋_GBK"/>
          <w:sz w:val="32"/>
          <w:szCs w:val="32"/>
        </w:rPr>
        <w:t>3.71</w:t>
      </w:r>
      <w:r>
        <w:rPr>
          <w:rFonts w:ascii="方正仿宋_GBK" w:hAnsi="方正仿宋_GBK" w:eastAsia="方正仿宋_GBK" w:cs="方正仿宋_GBK"/>
          <w:sz w:val="32"/>
          <w:szCs w:val="32"/>
          <w:shd w:val="clear" w:color="auto" w:fill="FFFFFF"/>
        </w:rPr>
        <w:t>%，较年初预算数增加139.09万元，增长100.00%，主要原因是</w:t>
      </w:r>
      <w:r>
        <w:rPr>
          <w:rFonts w:hint="eastAsia" w:ascii="方正仿宋_GBK" w:hAnsi="方正仿宋_GBK" w:eastAsia="方正仿宋_GBK" w:cs="方正仿宋_GBK"/>
          <w:sz w:val="32"/>
          <w:szCs w:val="32"/>
          <w:shd w:val="clear" w:color="auto" w:fill="FFFFFF"/>
          <w:lang w:val="en-US" w:eastAsia="zh-CN"/>
        </w:rPr>
        <w:t>用于冬春救助及抗旱救灾送水等开支。</w:t>
      </w:r>
    </w:p>
    <w:p>
      <w:pPr>
        <w:pStyle w:val="12"/>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（四）一般公共预算财政拨款基本支出决算情况说明</w:t>
      </w:r>
    </w:p>
    <w:p>
      <w:pPr>
        <w:pStyle w:val="7"/>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 2023年度一般公共财政拨款基本支出</w:t>
      </w:r>
      <w:r>
        <w:rPr>
          <w:rFonts w:ascii="方正仿宋_GBK" w:hAnsi="方正仿宋_GBK" w:eastAsia="方正仿宋_GBK" w:cs="方正仿宋_GBK"/>
          <w:sz w:val="32"/>
          <w:szCs w:val="32"/>
        </w:rPr>
        <w:t>1959.73</w:t>
      </w:r>
      <w:r>
        <w:rPr>
          <w:rFonts w:ascii="方正仿宋_GBK" w:hAnsi="方正仿宋_GBK" w:eastAsia="方正仿宋_GBK" w:cs="方正仿宋_GBK"/>
          <w:sz w:val="32"/>
          <w:szCs w:val="32"/>
          <w:shd w:val="clear" w:color="auto" w:fill="FFFFFF"/>
        </w:rPr>
        <w:t>万元。其中：人员经费</w:t>
      </w:r>
      <w:r>
        <w:rPr>
          <w:rFonts w:ascii="方正仿宋_GBK" w:hAnsi="方正仿宋_GBK" w:eastAsia="方正仿宋_GBK" w:cs="方正仿宋_GBK"/>
          <w:sz w:val="32"/>
          <w:szCs w:val="32"/>
        </w:rPr>
        <w:t>1759.86</w:t>
      </w:r>
      <w:r>
        <w:rPr>
          <w:rFonts w:ascii="方正仿宋_GBK" w:hAnsi="方正仿宋_GBK" w:eastAsia="方正仿宋_GBK" w:cs="方正仿宋_GBK"/>
          <w:sz w:val="32"/>
          <w:szCs w:val="32"/>
          <w:shd w:val="clear" w:color="auto" w:fill="FFFFFF"/>
        </w:rPr>
        <w:t>万元，较上年决算数增加391.03万元，增长28.57%，</w:t>
      </w:r>
      <w:r>
        <w:rPr>
          <w:rFonts w:hint="eastAsia" w:ascii="方正仿宋_GBK" w:hAnsi="方正仿宋_GBK" w:eastAsia="方正仿宋_GBK" w:cs="方正仿宋_GBK"/>
          <w:sz w:val="32"/>
          <w:szCs w:val="32"/>
          <w:shd w:val="clear" w:color="auto" w:fill="FFFFFF"/>
        </w:rPr>
        <w:t>主要原因是人员变动调资开支增加。</w:t>
      </w:r>
      <w:r>
        <w:rPr>
          <w:rFonts w:ascii="方正仿宋_GBK" w:hAnsi="方正仿宋_GBK" w:eastAsia="方正仿宋_GBK" w:cs="方正仿宋_GBK"/>
          <w:sz w:val="32"/>
          <w:szCs w:val="32"/>
          <w:shd w:val="clear" w:color="auto" w:fill="FFFFFF"/>
        </w:rPr>
        <w:t>人员经费用途主要包括</w:t>
      </w:r>
      <w:r>
        <w:rPr>
          <w:rFonts w:hint="eastAsia" w:ascii="方正仿宋_GBK" w:hAnsi="方正仿宋_GBK" w:eastAsia="方正仿宋_GBK" w:cs="方正仿宋_GBK"/>
          <w:sz w:val="32"/>
          <w:szCs w:val="32"/>
          <w:shd w:val="clear" w:color="auto" w:fill="FFFFFF"/>
        </w:rPr>
        <w:t>基本工资、津贴补贴、其他工资福利支出、住房保障支出、社会保障支出等。</w:t>
      </w:r>
      <w:r>
        <w:rPr>
          <w:rFonts w:ascii="方正仿宋_GBK" w:hAnsi="方正仿宋_GBK" w:eastAsia="方正仿宋_GBK" w:cs="方正仿宋_GBK"/>
          <w:sz w:val="32"/>
          <w:szCs w:val="32"/>
          <w:shd w:val="clear" w:color="auto" w:fill="FFFFFF"/>
        </w:rPr>
        <w:t>公用经费</w:t>
      </w:r>
      <w:r>
        <w:rPr>
          <w:rFonts w:ascii="方正仿宋_GBK" w:hAnsi="方正仿宋_GBK" w:eastAsia="方正仿宋_GBK" w:cs="方正仿宋_GBK"/>
          <w:sz w:val="32"/>
          <w:szCs w:val="32"/>
        </w:rPr>
        <w:t>199.87</w:t>
      </w:r>
      <w:r>
        <w:rPr>
          <w:rFonts w:ascii="方正仿宋_GBK" w:hAnsi="方正仿宋_GBK" w:eastAsia="方正仿宋_GBK" w:cs="方正仿宋_GBK"/>
          <w:sz w:val="32"/>
          <w:szCs w:val="32"/>
          <w:shd w:val="clear" w:color="auto" w:fill="FFFFFF"/>
        </w:rPr>
        <w:t>万元，较上年决算数减少33.88万元，下降14.49%，主要原因</w:t>
      </w:r>
      <w:r>
        <w:rPr>
          <w:rFonts w:hint="eastAsia" w:ascii="方正仿宋_GBK" w:hAnsi="方正仿宋_GBK" w:eastAsia="方正仿宋_GBK" w:cs="方正仿宋_GBK"/>
          <w:sz w:val="32"/>
          <w:szCs w:val="32"/>
          <w:shd w:val="clear" w:color="auto" w:fill="FFFFFF"/>
        </w:rPr>
        <w:t>是节约办公开支,办公费用减少。公用经费用途主要包括办公费、差旅费、水电费、邮电费、公务车运行费、交通费、福利费、工会费、其他商品和服务支出等。</w:t>
      </w:r>
    </w:p>
    <w:p>
      <w:pPr>
        <w:pStyle w:val="12"/>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（五）政府性基金预算收支决算情况说明</w:t>
      </w:r>
    </w:p>
    <w:p>
      <w:pPr>
        <w:pStyle w:val="7"/>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2023年度政府性基金预算财政拨款年初结转结余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万元，年末结转结余</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万元。本年收入</w:t>
      </w:r>
      <w:r>
        <w:rPr>
          <w:rFonts w:ascii="方正仿宋_GBK" w:hAnsi="方正仿宋_GBK" w:eastAsia="方正仿宋_GBK" w:cs="方正仿宋_GBK"/>
          <w:sz w:val="32"/>
          <w:szCs w:val="32"/>
        </w:rPr>
        <w:t>81.00</w:t>
      </w:r>
      <w:r>
        <w:rPr>
          <w:rFonts w:ascii="方正仿宋_GBK" w:hAnsi="方正仿宋_GBK" w:eastAsia="方正仿宋_GBK" w:cs="方正仿宋_GBK"/>
          <w:sz w:val="32"/>
          <w:szCs w:val="32"/>
          <w:shd w:val="clear" w:color="auto" w:fill="FFFFFF"/>
        </w:rPr>
        <w:t>万元，较上年决算数减少66.46万元，下降45.07%，</w:t>
      </w:r>
      <w:r>
        <w:rPr>
          <w:rFonts w:hint="eastAsia" w:ascii="方正仿宋_GBK" w:hAnsi="方正仿宋_GBK" w:eastAsia="方正仿宋_GBK" w:cs="方正仿宋_GBK"/>
          <w:sz w:val="32"/>
          <w:szCs w:val="32"/>
          <w:shd w:val="clear" w:color="auto" w:fill="FFFFFF"/>
        </w:rPr>
        <w:t>主要原因是项目建设支出减少。</w:t>
      </w:r>
      <w:r>
        <w:rPr>
          <w:rFonts w:ascii="方正仿宋_GBK" w:hAnsi="方正仿宋_GBK" w:eastAsia="方正仿宋_GBK" w:cs="方正仿宋_GBK"/>
          <w:sz w:val="32"/>
          <w:szCs w:val="32"/>
          <w:shd w:val="clear" w:color="auto" w:fill="FFFFFF"/>
        </w:rPr>
        <w:t>本年支出</w:t>
      </w:r>
      <w:r>
        <w:rPr>
          <w:rFonts w:ascii="方正仿宋_GBK" w:hAnsi="方正仿宋_GBK" w:eastAsia="方正仿宋_GBK" w:cs="方正仿宋_GBK"/>
          <w:sz w:val="32"/>
          <w:szCs w:val="32"/>
        </w:rPr>
        <w:t>81.00</w:t>
      </w:r>
      <w:r>
        <w:rPr>
          <w:rFonts w:ascii="方正仿宋_GBK" w:hAnsi="方正仿宋_GBK" w:eastAsia="方正仿宋_GBK" w:cs="方正仿宋_GBK"/>
          <w:sz w:val="32"/>
          <w:szCs w:val="32"/>
          <w:shd w:val="clear" w:color="auto" w:fill="FFFFFF"/>
        </w:rPr>
        <w:t>万元，较上年决算数减少66.46万元，下降45.07%，</w:t>
      </w:r>
      <w:r>
        <w:rPr>
          <w:rFonts w:hint="eastAsia" w:ascii="方正仿宋_GBK" w:hAnsi="方正仿宋_GBK" w:eastAsia="方正仿宋_GBK" w:cs="方正仿宋_GBK"/>
          <w:sz w:val="32"/>
          <w:szCs w:val="32"/>
          <w:shd w:val="clear" w:color="auto" w:fill="FFFFFF"/>
        </w:rPr>
        <w:t>主要原因是项目建设投入资金减少。</w:t>
      </w:r>
    </w:p>
    <w:p>
      <w:pPr>
        <w:pStyle w:val="12"/>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（六）国有资本经营预算财政拨款支出决算情况说明</w:t>
      </w:r>
    </w:p>
    <w:p>
      <w:pPr>
        <w:pStyle w:val="7"/>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 本单位2023年度无国有资本经营预算财政拨款支出。</w:t>
      </w:r>
      <w:bookmarkStart w:id="0" w:name="_GoBack"/>
      <w:bookmarkEnd w:id="0"/>
    </w:p>
    <w:p>
      <w:pPr>
        <w:pStyle w:val="7"/>
        <w:shd w:val="clear" w:color="auto" w:fill="FFFFFF"/>
        <w:rPr>
          <w:rStyle w:val="11"/>
          <w:rFonts w:hint="default" w:ascii="黑体" w:hAnsi="黑体" w:eastAsia="黑体" w:cs="黑体"/>
          <w:sz w:val="32"/>
          <w:szCs w:val="32"/>
          <w:shd w:val="clear" w:color="auto" w:fill="FFFFFF"/>
        </w:rPr>
      </w:pPr>
      <w:r>
        <w:rPr>
          <w:rStyle w:val="11"/>
          <w:rFonts w:ascii="黑体" w:hAnsi="黑体" w:eastAsia="黑体" w:cs="黑体"/>
          <w:sz w:val="32"/>
          <w:szCs w:val="32"/>
          <w:shd w:val="clear" w:color="auto" w:fill="FFFFFF"/>
        </w:rPr>
        <w:t>三、“三公”经费情况说明</w:t>
      </w:r>
    </w:p>
    <w:p>
      <w:pPr>
        <w:pStyle w:val="12"/>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 xml:space="preserve"> （一）“三公”经费支出总体情况说明</w:t>
      </w:r>
    </w:p>
    <w:p>
      <w:pPr>
        <w:pStyle w:val="7"/>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2023年度“三公”经费支出共计</w:t>
      </w:r>
      <w:r>
        <w:rPr>
          <w:rFonts w:ascii="方正仿宋_GBK" w:hAnsi="方正仿宋_GBK" w:eastAsia="方正仿宋_GBK" w:cs="方正仿宋_GBK"/>
          <w:sz w:val="32"/>
          <w:szCs w:val="32"/>
        </w:rPr>
        <w:t>8.25</w:t>
      </w:r>
      <w:r>
        <w:rPr>
          <w:rFonts w:ascii="方正仿宋_GBK" w:hAnsi="方正仿宋_GBK" w:eastAsia="方正仿宋_GBK" w:cs="方正仿宋_GBK"/>
          <w:sz w:val="32"/>
          <w:szCs w:val="32"/>
          <w:shd w:val="clear" w:color="auto" w:fill="FFFFFF"/>
        </w:rPr>
        <w:t>万元，较年初预算数无增减，主要原因</w:t>
      </w:r>
      <w:r>
        <w:rPr>
          <w:rFonts w:hint="eastAsia" w:ascii="方正仿宋_GBK" w:hAnsi="方正仿宋_GBK" w:eastAsia="方正仿宋_GBK" w:cs="方正仿宋_GBK"/>
          <w:sz w:val="32"/>
          <w:szCs w:val="32"/>
          <w:shd w:val="clear" w:color="auto" w:fill="FFFFFF"/>
          <w:lang w:eastAsia="zh-CN"/>
        </w:rPr>
        <w:t>：</w:t>
      </w:r>
      <w:r>
        <w:rPr>
          <w:rFonts w:hint="eastAsia" w:ascii="方正仿宋_GBK" w:hAnsi="方正仿宋_GBK" w:eastAsia="方正仿宋_GBK" w:cs="方正仿宋_GBK"/>
          <w:sz w:val="32"/>
          <w:szCs w:val="32"/>
          <w:shd w:val="clear" w:color="auto" w:fill="FFFFFF"/>
        </w:rPr>
        <w:t>一是认真贯彻落实中央八项规定精神,按照要求从严控制“三公”经费。二是强化公务接待支出管理,严格遵守公务接待开支范围和开支标准,严格控制陪同人数,对应由接待对象承担的费用一律由接待对象自行支付。</w:t>
      </w:r>
      <w:r>
        <w:rPr>
          <w:rFonts w:hint="eastAsia" w:ascii="方正仿宋_GBK" w:hAnsi="方正仿宋_GBK" w:eastAsia="方正仿宋_GBK" w:cs="方正仿宋_GBK"/>
          <w:sz w:val="32"/>
          <w:szCs w:val="32"/>
          <w:shd w:val="clear" w:color="auto" w:fill="FFFFFF"/>
          <w:lang w:val="en-US" w:eastAsia="zh-CN"/>
        </w:rPr>
        <w:t>三</w:t>
      </w:r>
      <w:r>
        <w:rPr>
          <w:rFonts w:hint="eastAsia" w:ascii="方正仿宋_GBK" w:hAnsi="方正仿宋_GBK" w:eastAsia="方正仿宋_GBK" w:cs="方正仿宋_GBK"/>
          <w:sz w:val="32"/>
          <w:szCs w:val="32"/>
          <w:shd w:val="clear" w:color="auto" w:fill="FFFFFF"/>
        </w:rPr>
        <w:t>是进一步规范因公出国(境)活动,今年未安排人员出国出访。</w:t>
      </w:r>
      <w:r>
        <w:rPr>
          <w:rFonts w:ascii="方正仿宋_GBK" w:hAnsi="方正仿宋_GBK" w:eastAsia="方正仿宋_GBK" w:cs="方正仿宋_GBK"/>
          <w:sz w:val="32"/>
          <w:szCs w:val="32"/>
          <w:shd w:val="clear" w:color="auto" w:fill="FFFFFF"/>
        </w:rPr>
        <w:t>较上年支出数减少0.43万元，下降4.95%，主要原因是</w:t>
      </w:r>
      <w:r>
        <w:rPr>
          <w:rFonts w:hint="eastAsia" w:ascii="方正仿宋_GBK" w:hAnsi="方正仿宋_GBK" w:eastAsia="方正仿宋_GBK" w:cs="方正仿宋_GBK"/>
          <w:sz w:val="32"/>
          <w:szCs w:val="32"/>
          <w:shd w:val="clear" w:color="auto" w:fill="FFFFFF"/>
        </w:rPr>
        <w:t>人员变动，开支</w:t>
      </w:r>
      <w:r>
        <w:rPr>
          <w:rFonts w:hint="eastAsia" w:ascii="方正仿宋_GBK" w:hAnsi="方正仿宋_GBK" w:eastAsia="方正仿宋_GBK" w:cs="方正仿宋_GBK"/>
          <w:sz w:val="32"/>
          <w:szCs w:val="32"/>
          <w:shd w:val="clear" w:color="auto" w:fill="FFFFFF"/>
          <w:lang w:val="en-US" w:eastAsia="zh-CN"/>
        </w:rPr>
        <w:t>减少</w:t>
      </w:r>
      <w:r>
        <w:rPr>
          <w:rFonts w:hint="eastAsia" w:ascii="方正仿宋_GBK" w:hAnsi="方正仿宋_GBK" w:eastAsia="方正仿宋_GBK" w:cs="方正仿宋_GBK"/>
          <w:sz w:val="32"/>
          <w:szCs w:val="32"/>
          <w:shd w:val="clear" w:color="auto" w:fill="FFFFFF"/>
        </w:rPr>
        <w:t>。</w:t>
      </w:r>
    </w:p>
    <w:p>
      <w:pPr>
        <w:pStyle w:val="12"/>
        <w:autoSpaceDE w:val="0"/>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（二）“三公”经费分项支出情况</w:t>
      </w:r>
    </w:p>
    <w:p>
      <w:pPr>
        <w:pStyle w:val="7"/>
        <w:snapToGrid w:val="0"/>
        <w:spacing w:before="0" w:beforeAutospacing="0" w:after="0" w:afterAutospacing="0" w:line="600" w:lineRule="exact"/>
        <w:ind w:firstLine="640" w:firstLineChars="200"/>
        <w:jc w:val="both"/>
        <w:rPr>
          <w:rFonts w:hint="eastAsia"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2023年度本部门因公出国（境）费用</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万元，费用支出较年初预算数无增减，较上年支出数无增减，</w:t>
      </w:r>
      <w:r>
        <w:rPr>
          <w:rFonts w:hint="eastAsia" w:ascii="方正仿宋_GBK" w:hAnsi="方正仿宋_GBK" w:eastAsia="方正仿宋_GBK" w:cs="方正仿宋_GBK"/>
          <w:sz w:val="32"/>
          <w:szCs w:val="32"/>
          <w:shd w:val="clear" w:color="auto" w:fill="FFFFFF"/>
        </w:rPr>
        <w:t>主要原因是本单位202</w:t>
      </w:r>
      <w:r>
        <w:rPr>
          <w:rFonts w:hint="eastAsia" w:ascii="方正仿宋_GBK" w:hAnsi="方正仿宋_GBK" w:eastAsia="方正仿宋_GBK" w:cs="方正仿宋_GBK"/>
          <w:sz w:val="32"/>
          <w:szCs w:val="32"/>
          <w:shd w:val="clear" w:color="auto" w:fill="FFFFFF"/>
          <w:lang w:val="en-US" w:eastAsia="zh-CN"/>
        </w:rPr>
        <w:t>3</w:t>
      </w:r>
      <w:r>
        <w:rPr>
          <w:rFonts w:hint="eastAsia" w:ascii="方正仿宋_GBK" w:hAnsi="方正仿宋_GBK" w:eastAsia="方正仿宋_GBK" w:cs="方正仿宋_GBK"/>
          <w:sz w:val="32"/>
          <w:szCs w:val="32"/>
          <w:shd w:val="clear" w:color="auto" w:fill="FFFFFF"/>
        </w:rPr>
        <w:t>年未发生因公出国(境)费用。</w:t>
      </w:r>
    </w:p>
    <w:p>
      <w:pPr>
        <w:pStyle w:val="7"/>
        <w:snapToGrid w:val="0"/>
        <w:spacing w:before="0" w:beforeAutospacing="0" w:after="0" w:afterAutospacing="0" w:line="600" w:lineRule="exact"/>
        <w:ind w:firstLine="640" w:firstLineChars="200"/>
        <w:jc w:val="both"/>
        <w:rPr>
          <w:rFonts w:hint="eastAsia" w:ascii="方正仿宋_GBK" w:hAnsi="方正仿宋_GBK" w:eastAsia="方正仿宋_GBK" w:cs="方正仿宋_GBK"/>
          <w:sz w:val="32"/>
          <w:szCs w:val="32"/>
          <w:shd w:val="clear" w:color="auto" w:fill="FFFFFF"/>
        </w:rPr>
      </w:pPr>
      <w:r>
        <w:rPr>
          <w:rFonts w:ascii="方正仿宋_GBK" w:hAnsi="方正仿宋_GBK" w:eastAsia="方正仿宋_GBK" w:cs="方正仿宋_GBK"/>
          <w:sz w:val="32"/>
          <w:szCs w:val="32"/>
          <w:shd w:val="clear" w:color="auto" w:fill="FFFFFF"/>
        </w:rPr>
        <w:t>公务车购置费</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w:t>
      </w:r>
      <w:r>
        <w:rPr>
          <w:rFonts w:hint="eastAsia" w:ascii="方正仿宋_GBK" w:hAnsi="方正仿宋_GBK" w:eastAsia="方正仿宋_GBK" w:cs="方正仿宋_GBK"/>
          <w:sz w:val="32"/>
          <w:szCs w:val="32"/>
          <w:shd w:val="clear" w:color="auto" w:fill="FFFFFF"/>
        </w:rPr>
        <w:t>主要用于本单位202</w:t>
      </w:r>
      <w:r>
        <w:rPr>
          <w:rFonts w:hint="eastAsia" w:ascii="方正仿宋_GBK" w:hAnsi="方正仿宋_GBK" w:eastAsia="方正仿宋_GBK" w:cs="方正仿宋_GBK"/>
          <w:sz w:val="32"/>
          <w:szCs w:val="32"/>
          <w:shd w:val="clear" w:color="auto" w:fill="FFFFFF"/>
          <w:lang w:val="en-US" w:eastAsia="zh-CN"/>
        </w:rPr>
        <w:t>3</w:t>
      </w:r>
      <w:r>
        <w:rPr>
          <w:rFonts w:hint="eastAsia" w:ascii="方正仿宋_GBK" w:hAnsi="方正仿宋_GBK" w:eastAsia="方正仿宋_GBK" w:cs="方正仿宋_GBK"/>
          <w:sz w:val="32"/>
          <w:szCs w:val="32"/>
          <w:shd w:val="clear" w:color="auto" w:fill="FFFFFF"/>
        </w:rPr>
        <w:t>年未购置公务车辆</w:t>
      </w:r>
      <w:r>
        <w:rPr>
          <w:rFonts w:ascii="方正仿宋_GBK" w:hAnsi="方正仿宋_GBK" w:eastAsia="方正仿宋_GBK" w:cs="方正仿宋_GBK"/>
          <w:sz w:val="32"/>
          <w:szCs w:val="32"/>
          <w:shd w:val="clear" w:color="auto" w:fill="FFFFFF"/>
        </w:rPr>
        <w:t>。费用支出较年初预算数无增减，</w:t>
      </w:r>
      <w:r>
        <w:rPr>
          <w:rFonts w:hint="eastAsia" w:ascii="方正仿宋_GBK" w:hAnsi="方正仿宋_GBK" w:eastAsia="方正仿宋_GBK" w:cs="方正仿宋_GBK"/>
          <w:sz w:val="32"/>
          <w:szCs w:val="32"/>
          <w:shd w:val="clear" w:color="auto" w:fill="FFFFFF"/>
        </w:rPr>
        <w:t>主要用于本单位202</w:t>
      </w:r>
      <w:r>
        <w:rPr>
          <w:rFonts w:hint="eastAsia" w:ascii="方正仿宋_GBK" w:hAnsi="方正仿宋_GBK" w:eastAsia="方正仿宋_GBK" w:cs="方正仿宋_GBK"/>
          <w:sz w:val="32"/>
          <w:szCs w:val="32"/>
          <w:shd w:val="clear" w:color="auto" w:fill="FFFFFF"/>
          <w:lang w:val="en-US" w:eastAsia="zh-CN"/>
        </w:rPr>
        <w:t>3</w:t>
      </w:r>
      <w:r>
        <w:rPr>
          <w:rFonts w:hint="eastAsia" w:ascii="方正仿宋_GBK" w:hAnsi="方正仿宋_GBK" w:eastAsia="方正仿宋_GBK" w:cs="方正仿宋_GBK"/>
          <w:sz w:val="32"/>
          <w:szCs w:val="32"/>
          <w:shd w:val="clear" w:color="auto" w:fill="FFFFFF"/>
        </w:rPr>
        <w:t>年未购置公务车辆</w:t>
      </w:r>
      <w:r>
        <w:rPr>
          <w:rFonts w:ascii="方正仿宋_GBK" w:hAnsi="方正仿宋_GBK" w:eastAsia="方正仿宋_GBK" w:cs="方正仿宋_GBK"/>
          <w:sz w:val="32"/>
          <w:szCs w:val="32"/>
          <w:shd w:val="clear" w:color="auto" w:fill="FFFFFF"/>
        </w:rPr>
        <w:t>。较上年支出数无增减，</w:t>
      </w:r>
      <w:r>
        <w:rPr>
          <w:rFonts w:hint="eastAsia" w:ascii="方正仿宋_GBK" w:hAnsi="方正仿宋_GBK" w:eastAsia="方正仿宋_GBK" w:cs="方正仿宋_GBK"/>
          <w:sz w:val="32"/>
          <w:szCs w:val="32"/>
          <w:shd w:val="clear" w:color="auto" w:fill="FFFFFF"/>
        </w:rPr>
        <w:t>主要原因是本单位202</w:t>
      </w:r>
      <w:r>
        <w:rPr>
          <w:rFonts w:hint="eastAsia" w:ascii="方正仿宋_GBK" w:hAnsi="方正仿宋_GBK" w:eastAsia="方正仿宋_GBK" w:cs="方正仿宋_GBK"/>
          <w:sz w:val="32"/>
          <w:szCs w:val="32"/>
          <w:shd w:val="clear" w:color="auto" w:fill="FFFFFF"/>
          <w:lang w:val="en-US" w:eastAsia="zh-CN"/>
        </w:rPr>
        <w:t>3</w:t>
      </w:r>
      <w:r>
        <w:rPr>
          <w:rFonts w:hint="eastAsia" w:ascii="方正仿宋_GBK" w:hAnsi="方正仿宋_GBK" w:eastAsia="方正仿宋_GBK" w:cs="方正仿宋_GBK"/>
          <w:sz w:val="32"/>
          <w:szCs w:val="32"/>
          <w:shd w:val="clear" w:color="auto" w:fill="FFFFFF"/>
        </w:rPr>
        <w:t>年未购置公务车辆，与上年持平。</w:t>
      </w:r>
    </w:p>
    <w:p>
      <w:pPr>
        <w:pStyle w:val="7"/>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  公务车运行维护费</w:t>
      </w:r>
      <w:r>
        <w:rPr>
          <w:rFonts w:ascii="方正仿宋_GBK" w:hAnsi="方正仿宋_GBK" w:eastAsia="方正仿宋_GBK" w:cs="方正仿宋_GBK"/>
          <w:sz w:val="32"/>
          <w:szCs w:val="32"/>
        </w:rPr>
        <w:t>6.00</w:t>
      </w:r>
      <w:r>
        <w:rPr>
          <w:rFonts w:ascii="方正仿宋_GBK" w:hAnsi="方正仿宋_GBK" w:eastAsia="方正仿宋_GBK" w:cs="方正仿宋_GBK"/>
          <w:sz w:val="32"/>
          <w:szCs w:val="32"/>
          <w:shd w:val="clear" w:color="auto" w:fill="FFFFFF"/>
        </w:rPr>
        <w:t>万元，</w:t>
      </w:r>
      <w:r>
        <w:rPr>
          <w:rFonts w:hint="eastAsia" w:ascii="方正仿宋_GBK" w:hAnsi="方正仿宋_GBK" w:eastAsia="方正仿宋_GBK" w:cs="方正仿宋_GBK"/>
          <w:sz w:val="32"/>
          <w:szCs w:val="32"/>
          <w:shd w:val="clear" w:color="auto" w:fill="FFFFFF"/>
        </w:rPr>
        <w:t>主要用于机要文件交换、市内因公出行、财政业务检查等工作所需车辆的燃料费、维修费、过桥过路费、保险费等。</w:t>
      </w:r>
      <w:r>
        <w:rPr>
          <w:rFonts w:ascii="方正仿宋_GBK" w:hAnsi="方正仿宋_GBK" w:eastAsia="方正仿宋_GBK" w:cs="方正仿宋_GBK"/>
          <w:sz w:val="32"/>
          <w:szCs w:val="32"/>
          <w:shd w:val="clear" w:color="auto" w:fill="FFFFFF"/>
        </w:rPr>
        <w:t>费用支出较年初预算数无增减，较上年支出数无增减</w:t>
      </w:r>
      <w:r>
        <w:rPr>
          <w:rFonts w:hint="eastAsia" w:ascii="方正仿宋_GBK" w:hAnsi="方正仿宋_GBK" w:eastAsia="方正仿宋_GBK" w:cs="方正仿宋_GBK"/>
          <w:sz w:val="32"/>
          <w:szCs w:val="32"/>
          <w:shd w:val="clear" w:color="auto" w:fill="FFFFFF"/>
          <w:lang w:eastAsia="zh-CN"/>
        </w:rPr>
        <w:t>。</w:t>
      </w:r>
    </w:p>
    <w:p>
      <w:pPr>
        <w:pStyle w:val="7"/>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 公务接待费</w:t>
      </w:r>
      <w:r>
        <w:rPr>
          <w:rFonts w:ascii="方正仿宋_GBK" w:hAnsi="方正仿宋_GBK" w:eastAsia="方正仿宋_GBK" w:cs="方正仿宋_GBK"/>
          <w:sz w:val="32"/>
          <w:szCs w:val="32"/>
        </w:rPr>
        <w:t>2.25</w:t>
      </w:r>
      <w:r>
        <w:rPr>
          <w:rFonts w:ascii="方正仿宋_GBK" w:hAnsi="方正仿宋_GBK" w:eastAsia="方正仿宋_GBK" w:cs="方正仿宋_GBK"/>
          <w:sz w:val="32"/>
          <w:szCs w:val="32"/>
          <w:shd w:val="clear" w:color="auto" w:fill="FFFFFF"/>
        </w:rPr>
        <w:t>万元，主要用于接待</w:t>
      </w:r>
      <w:r>
        <w:rPr>
          <w:rFonts w:hint="eastAsia" w:ascii="方正仿宋_GBK" w:hAnsi="方正仿宋_GBK" w:eastAsia="方正仿宋_GBK" w:cs="方正仿宋_GBK"/>
          <w:sz w:val="32"/>
          <w:szCs w:val="32"/>
          <w:shd w:val="clear" w:color="auto" w:fill="FFFFFF"/>
        </w:rPr>
        <w:t>国内其他省市财政厅到我单位学习调研政府财务报告编制工作,接受相关部门检查指导工作发生的接待支出。</w:t>
      </w:r>
      <w:r>
        <w:rPr>
          <w:rFonts w:ascii="方正仿宋_GBK" w:hAnsi="方正仿宋_GBK" w:eastAsia="方正仿宋_GBK" w:cs="方正仿宋_GBK"/>
          <w:sz w:val="32"/>
          <w:szCs w:val="32"/>
          <w:shd w:val="clear" w:color="auto" w:fill="FFFFFF"/>
        </w:rPr>
        <w:t>费用支出较年初预算数无增减，较上年支出数减少0.43万元，下降16.04%，</w:t>
      </w:r>
      <w:r>
        <w:rPr>
          <w:rFonts w:hint="eastAsia" w:ascii="方正仿宋_GBK" w:hAnsi="方正仿宋_GBK" w:eastAsia="方正仿宋_GBK" w:cs="方正仿宋_GBK"/>
          <w:sz w:val="32"/>
          <w:szCs w:val="32"/>
          <w:shd w:val="clear" w:color="auto" w:fill="FFFFFF"/>
        </w:rPr>
        <w:t>主要原因是严格贯彻落实中央八项规定精神和厉行节约要求。</w:t>
      </w:r>
    </w:p>
    <w:p>
      <w:pPr>
        <w:pStyle w:val="12"/>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（三）“三公”经费实物量情况</w:t>
      </w:r>
    </w:p>
    <w:p>
      <w:pPr>
        <w:pStyle w:val="7"/>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  2023年度本部门因公出国（境）共计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个团组，</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人；公务用车购置</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辆，公务车保有量为</w:t>
      </w:r>
      <w:r>
        <w:rPr>
          <w:rFonts w:ascii="方正仿宋_GBK" w:hAnsi="方正仿宋_GBK" w:eastAsia="方正仿宋_GBK" w:cs="方正仿宋_GBK"/>
          <w:sz w:val="32"/>
          <w:szCs w:val="32"/>
        </w:rPr>
        <w:t>3</w:t>
      </w:r>
      <w:r>
        <w:rPr>
          <w:rFonts w:ascii="方正仿宋_GBK" w:hAnsi="方正仿宋_GBK" w:eastAsia="方正仿宋_GBK" w:cs="方正仿宋_GBK"/>
          <w:sz w:val="32"/>
          <w:szCs w:val="32"/>
          <w:shd w:val="clear" w:color="auto" w:fill="FFFFFF"/>
        </w:rPr>
        <w:t>辆；国内公务接待</w:t>
      </w:r>
      <w:r>
        <w:rPr>
          <w:rFonts w:ascii="方正仿宋_GBK" w:hAnsi="方正仿宋_GBK" w:eastAsia="方正仿宋_GBK" w:cs="方正仿宋_GBK"/>
          <w:sz w:val="32"/>
          <w:szCs w:val="32"/>
        </w:rPr>
        <w:t>94</w:t>
      </w:r>
      <w:r>
        <w:rPr>
          <w:rFonts w:ascii="方正仿宋_GBK" w:hAnsi="方正仿宋_GBK" w:eastAsia="方正仿宋_GBK" w:cs="方正仿宋_GBK"/>
          <w:sz w:val="32"/>
          <w:szCs w:val="32"/>
          <w:shd w:val="clear" w:color="auto" w:fill="FFFFFF"/>
        </w:rPr>
        <w:t>批次</w:t>
      </w:r>
      <w:r>
        <w:rPr>
          <w:rFonts w:ascii="方正仿宋_GBK" w:hAnsi="方正仿宋_GBK" w:eastAsia="方正仿宋_GBK" w:cs="方正仿宋_GBK"/>
          <w:sz w:val="32"/>
          <w:szCs w:val="32"/>
        </w:rPr>
        <w:t>504</w:t>
      </w:r>
      <w:r>
        <w:rPr>
          <w:rFonts w:ascii="方正仿宋_GBK" w:hAnsi="方正仿宋_GBK" w:eastAsia="方正仿宋_GBK" w:cs="方正仿宋_GBK"/>
          <w:sz w:val="32"/>
          <w:szCs w:val="32"/>
          <w:shd w:val="clear" w:color="auto" w:fill="FFFFFF"/>
        </w:rPr>
        <w:t>人，其中：国内外事接待</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批次，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人；国（境）外公务接待</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批次，</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人。2023年本部门人均接待费</w:t>
      </w:r>
      <w:r>
        <w:rPr>
          <w:rFonts w:ascii="方正仿宋_GBK" w:hAnsi="方正仿宋_GBK" w:eastAsia="方正仿宋_GBK" w:cs="方正仿宋_GBK"/>
          <w:sz w:val="32"/>
          <w:szCs w:val="32"/>
        </w:rPr>
        <w:t>44.58</w:t>
      </w:r>
      <w:r>
        <w:rPr>
          <w:rFonts w:ascii="方正仿宋_GBK" w:hAnsi="方正仿宋_GBK" w:eastAsia="方正仿宋_GBK" w:cs="方正仿宋_GBK"/>
          <w:sz w:val="32"/>
          <w:szCs w:val="32"/>
          <w:shd w:val="clear" w:color="auto" w:fill="FFFFFF"/>
        </w:rPr>
        <w:t>元，车均购置费</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万元，车均维护费</w:t>
      </w:r>
      <w:r>
        <w:rPr>
          <w:rFonts w:ascii="方正仿宋_GBK" w:hAnsi="方正仿宋_GBK" w:eastAsia="方正仿宋_GBK" w:cs="方正仿宋_GBK"/>
          <w:sz w:val="32"/>
          <w:szCs w:val="32"/>
        </w:rPr>
        <w:t>2.00</w:t>
      </w:r>
      <w:r>
        <w:rPr>
          <w:rFonts w:ascii="方正仿宋_GBK" w:hAnsi="方正仿宋_GBK" w:eastAsia="方正仿宋_GBK" w:cs="方正仿宋_GBK"/>
          <w:sz w:val="32"/>
          <w:szCs w:val="32"/>
          <w:shd w:val="clear" w:color="auto" w:fill="FFFFFF"/>
        </w:rPr>
        <w:t>万元。</w:t>
      </w:r>
    </w:p>
    <w:p>
      <w:pPr>
        <w:pStyle w:val="7"/>
        <w:shd w:val="clear" w:color="auto" w:fill="FFFFFF"/>
        <w:rPr>
          <w:rStyle w:val="11"/>
          <w:rFonts w:hint="default" w:ascii="方正仿宋_GBK" w:hAnsi="方正仿宋_GBK" w:eastAsia="方正仿宋_GBK" w:cs="方正仿宋_GBK"/>
          <w:sz w:val="32"/>
          <w:szCs w:val="32"/>
          <w:shd w:val="clear" w:color="auto" w:fill="FFFFFF"/>
        </w:rPr>
      </w:pPr>
      <w:r>
        <w:rPr>
          <w:rStyle w:val="11"/>
          <w:rFonts w:ascii="黑体" w:hAnsi="黑体" w:eastAsia="黑体" w:cs="黑体"/>
          <w:sz w:val="32"/>
          <w:szCs w:val="32"/>
          <w:shd w:val="clear" w:color="auto" w:fill="FFFFFF"/>
        </w:rPr>
        <w:t>四、其他需要说明的事项</w:t>
      </w:r>
    </w:p>
    <w:p>
      <w:pPr>
        <w:pStyle w:val="12"/>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  （一）财政拨款会议费和培训费情况说明</w:t>
      </w:r>
    </w:p>
    <w:p>
      <w:pPr>
        <w:pStyle w:val="7"/>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  本年度会议费支出</w:t>
      </w:r>
      <w:r>
        <w:rPr>
          <w:rFonts w:ascii="方正仿宋_GBK" w:hAnsi="方正仿宋_GBK" w:eastAsia="方正仿宋_GBK" w:cs="方正仿宋_GBK"/>
          <w:sz w:val="32"/>
          <w:szCs w:val="32"/>
        </w:rPr>
        <w:t>0.00</w:t>
      </w:r>
      <w:r>
        <w:rPr>
          <w:rFonts w:ascii="方正仿宋_GBK" w:hAnsi="方正仿宋_GBK" w:eastAsia="方正仿宋_GBK" w:cs="方正仿宋_GBK"/>
          <w:sz w:val="32"/>
          <w:szCs w:val="32"/>
          <w:shd w:val="clear" w:color="auto" w:fill="FFFFFF"/>
        </w:rPr>
        <w:t>万元，本年度培训费支出</w:t>
      </w:r>
      <w:r>
        <w:rPr>
          <w:rFonts w:ascii="方正仿宋_GBK" w:hAnsi="方正仿宋_GBK" w:eastAsia="方正仿宋_GBK" w:cs="方正仿宋_GBK"/>
          <w:sz w:val="32"/>
          <w:szCs w:val="32"/>
        </w:rPr>
        <w:t>6.10</w:t>
      </w:r>
      <w:r>
        <w:rPr>
          <w:rFonts w:ascii="方正仿宋_GBK" w:hAnsi="方正仿宋_GBK" w:eastAsia="方正仿宋_GBK" w:cs="方正仿宋_GBK"/>
          <w:sz w:val="32"/>
          <w:szCs w:val="32"/>
          <w:shd w:val="clear" w:color="auto" w:fill="FFFFFF"/>
        </w:rPr>
        <w:t>万元，较上年决算数增加1.69万元，增长38.32%，主要原因是</w:t>
      </w:r>
      <w:r>
        <w:rPr>
          <w:rFonts w:hint="eastAsia" w:ascii="方正仿宋_GBK" w:hAnsi="方正仿宋_GBK" w:eastAsia="方正仿宋_GBK" w:cs="方正仿宋_GBK"/>
          <w:sz w:val="32"/>
          <w:szCs w:val="32"/>
          <w:shd w:val="clear" w:color="auto" w:fill="FFFFFF"/>
        </w:rPr>
        <w:t>202</w:t>
      </w:r>
      <w:r>
        <w:rPr>
          <w:rFonts w:hint="eastAsia" w:ascii="方正仿宋_GBK" w:hAnsi="方正仿宋_GBK" w:eastAsia="方正仿宋_GBK" w:cs="方正仿宋_GBK"/>
          <w:sz w:val="32"/>
          <w:szCs w:val="32"/>
          <w:shd w:val="clear" w:color="auto" w:fill="FFFFFF"/>
          <w:lang w:val="en-US" w:eastAsia="zh-CN"/>
        </w:rPr>
        <w:t>3</w:t>
      </w:r>
      <w:r>
        <w:rPr>
          <w:rFonts w:hint="eastAsia" w:ascii="方正仿宋_GBK" w:hAnsi="方正仿宋_GBK" w:eastAsia="方正仿宋_GBK" w:cs="方正仿宋_GBK"/>
          <w:sz w:val="32"/>
          <w:szCs w:val="32"/>
          <w:shd w:val="clear" w:color="auto" w:fill="FFFFFF"/>
        </w:rPr>
        <w:t>年各类培训场次、人次增加，培训开支增加。</w:t>
      </w:r>
    </w:p>
    <w:p>
      <w:pPr>
        <w:pStyle w:val="12"/>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（二）机关运行经费情况说明</w:t>
      </w:r>
    </w:p>
    <w:p>
      <w:pPr>
        <w:pStyle w:val="7"/>
        <w:snapToGrid w:val="0"/>
        <w:spacing w:before="0" w:beforeAutospacing="0" w:after="0" w:afterAutospacing="0" w:line="600" w:lineRule="exact"/>
        <w:ind w:firstLine="960" w:firstLineChars="3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2023年度本部门机关运行经费支出</w:t>
      </w:r>
      <w:r>
        <w:rPr>
          <w:rFonts w:ascii="方正仿宋_GBK" w:hAnsi="方正仿宋_GBK" w:eastAsia="方正仿宋_GBK" w:cs="方正仿宋_GBK"/>
          <w:sz w:val="32"/>
          <w:szCs w:val="32"/>
        </w:rPr>
        <w:t>136.00</w:t>
      </w:r>
      <w:r>
        <w:rPr>
          <w:rFonts w:ascii="方正仿宋_GBK" w:hAnsi="方正仿宋_GBK" w:eastAsia="方正仿宋_GBK" w:cs="方正仿宋_GBK"/>
          <w:sz w:val="32"/>
          <w:szCs w:val="32"/>
          <w:shd w:val="clear" w:color="auto" w:fill="FFFFFF"/>
        </w:rPr>
        <w:t>万元，机关运行经费</w:t>
      </w:r>
      <w:r>
        <w:rPr>
          <w:rFonts w:hint="eastAsia" w:ascii="方正仿宋_GBK" w:hAnsi="方正仿宋_GBK" w:eastAsia="方正仿宋_GBK" w:cs="方正仿宋_GBK"/>
          <w:sz w:val="32"/>
          <w:szCs w:val="32"/>
          <w:shd w:val="clear" w:color="auto" w:fill="FFFFFF"/>
        </w:rPr>
        <w:t>主要用于开支办公费、公务车运行维护费、信息网络购置更新费。</w:t>
      </w:r>
      <w:r>
        <w:rPr>
          <w:rFonts w:ascii="方正仿宋_GBK" w:hAnsi="方正仿宋_GBK" w:eastAsia="方正仿宋_GBK" w:cs="方正仿宋_GBK"/>
          <w:sz w:val="32"/>
          <w:szCs w:val="32"/>
          <w:shd w:val="clear" w:color="auto" w:fill="FFFFFF"/>
        </w:rPr>
        <w:t>机关运行经费较上年支出数减少28.02万元，下降17.08%，</w:t>
      </w:r>
      <w:r>
        <w:rPr>
          <w:rFonts w:hint="eastAsia" w:ascii="方正仿宋_GBK" w:hAnsi="方正仿宋_GBK" w:eastAsia="方正仿宋_GBK" w:cs="方正仿宋_GBK"/>
          <w:sz w:val="32"/>
          <w:szCs w:val="32"/>
          <w:shd w:val="clear" w:color="auto" w:fill="FFFFFF"/>
        </w:rPr>
        <w:t>主要原因是会议资料打印费、办公经费减少。</w:t>
      </w:r>
    </w:p>
    <w:p>
      <w:pPr>
        <w:pStyle w:val="12"/>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（三）国有资产占用情况说明</w:t>
      </w:r>
    </w:p>
    <w:p>
      <w:pPr>
        <w:pStyle w:val="7"/>
        <w:snapToGrid w:val="0"/>
        <w:spacing w:before="0" w:beforeAutospacing="0" w:after="0" w:afterAutospacing="0" w:line="600" w:lineRule="exact"/>
        <w:ind w:firstLine="640"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sz w:val="32"/>
          <w:szCs w:val="32"/>
          <w:shd w:val="clear" w:color="auto" w:fill="FFFFFF"/>
        </w:rPr>
        <w:t>  截至2023年12月31日，本部门共有车辆</w:t>
      </w:r>
      <w:r>
        <w:rPr>
          <w:rFonts w:ascii="方正仿宋_GBK" w:hAnsi="方正仿宋_GBK" w:eastAsia="方正仿宋_GBK" w:cs="方正仿宋_GBK"/>
          <w:sz w:val="32"/>
          <w:szCs w:val="32"/>
        </w:rPr>
        <w:t>3</w:t>
      </w:r>
      <w:r>
        <w:rPr>
          <w:rFonts w:ascii="方正仿宋_GBK" w:hAnsi="方正仿宋_GBK" w:eastAsia="方正仿宋_GBK" w:cs="方正仿宋_GBK"/>
          <w:sz w:val="32"/>
          <w:szCs w:val="32"/>
          <w:shd w:val="clear" w:color="auto" w:fill="FFFFFF"/>
        </w:rPr>
        <w:t>辆，其中，副部（省）级及以上领导用车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辆、主要负责人用车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辆、机要通信用车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辆、应急保障用车</w:t>
      </w:r>
      <w:r>
        <w:rPr>
          <w:rFonts w:ascii="方正仿宋_GBK" w:hAnsi="方正仿宋_GBK" w:eastAsia="方正仿宋_GBK" w:cs="方正仿宋_GBK"/>
          <w:sz w:val="32"/>
          <w:szCs w:val="32"/>
        </w:rPr>
        <w:t>3</w:t>
      </w:r>
      <w:r>
        <w:rPr>
          <w:rFonts w:ascii="方正仿宋_GBK" w:hAnsi="方正仿宋_GBK" w:eastAsia="方正仿宋_GBK" w:cs="方正仿宋_GBK"/>
          <w:sz w:val="32"/>
          <w:szCs w:val="32"/>
          <w:shd w:val="clear" w:color="auto" w:fill="FFFFFF"/>
        </w:rPr>
        <w:t>辆、执法执勤用车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辆，特种专业技术用车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辆，离退休干部用车</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辆。单价100万元（含）以上专用设备</w:t>
      </w:r>
      <w:r>
        <w:rPr>
          <w:rFonts w:ascii="方正仿宋_GBK" w:hAnsi="方正仿宋_GBK" w:eastAsia="方正仿宋_GBK" w:cs="方正仿宋_GBK"/>
          <w:sz w:val="32"/>
          <w:szCs w:val="32"/>
        </w:rPr>
        <w:t>0</w:t>
      </w:r>
      <w:r>
        <w:rPr>
          <w:rFonts w:ascii="方正仿宋_GBK" w:hAnsi="方正仿宋_GBK" w:eastAsia="方正仿宋_GBK" w:cs="方正仿宋_GBK"/>
          <w:sz w:val="32"/>
          <w:szCs w:val="32"/>
          <w:shd w:val="clear" w:color="auto" w:fill="FFFFFF"/>
        </w:rPr>
        <w:t>台（套）。</w:t>
      </w:r>
    </w:p>
    <w:p>
      <w:pPr>
        <w:pStyle w:val="12"/>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（四）政府采购支出情况说明</w:t>
      </w:r>
    </w:p>
    <w:p>
      <w:pPr>
        <w:pStyle w:val="7"/>
        <w:snapToGrid w:val="0"/>
        <w:spacing w:before="0" w:beforeAutospacing="0" w:after="0" w:afterAutospacing="0" w:line="600" w:lineRule="exact"/>
        <w:jc w:val="both"/>
        <w:rPr>
          <w:rFonts w:hint="default" w:ascii="方正仿宋_GBK" w:hAnsi="方正仿宋_GBK" w:eastAsia="方正仿宋_GBK" w:cs="方正仿宋_GBK"/>
          <w:color w:val="FF0000"/>
          <w:sz w:val="32"/>
          <w:szCs w:val="32"/>
          <w:shd w:val="clear" w:color="auto" w:fill="FFFFFF"/>
        </w:rPr>
      </w:pPr>
      <w:r>
        <w:rPr>
          <w:rFonts w:ascii="方正仿宋_GBK" w:hAnsi="方正仿宋_GBK" w:eastAsia="方正仿宋_GBK" w:cs="方正仿宋_GBK"/>
          <w:sz w:val="32"/>
          <w:szCs w:val="32"/>
          <w:shd w:val="clear" w:color="auto" w:fill="FFFFFF"/>
        </w:rPr>
        <w:t xml:space="preserve"> </w:t>
      </w:r>
      <w:r>
        <w:rPr>
          <w:rFonts w:hint="eastAsia" w:ascii="方正仿宋_GBK" w:hAnsi="方正仿宋_GBK" w:eastAsia="方正仿宋_GBK" w:cs="方正仿宋_GBK"/>
          <w:sz w:val="32"/>
          <w:szCs w:val="32"/>
          <w:shd w:val="clear" w:color="auto" w:fill="FFFFFF"/>
          <w:lang w:val="en-US" w:eastAsia="zh-CN"/>
        </w:rPr>
        <w:t xml:space="preserve">  </w:t>
      </w:r>
      <w:r>
        <w:rPr>
          <w:rFonts w:ascii="方正仿宋_GBK" w:hAnsi="方正仿宋_GBK" w:eastAsia="方正仿宋_GBK" w:cs="方正仿宋_GBK"/>
          <w:sz w:val="32"/>
          <w:szCs w:val="32"/>
          <w:shd w:val="clear" w:color="auto" w:fill="FFFFFF"/>
        </w:rPr>
        <w:t>2023年度我单位未发生政府采购事项，无相关经费支出。</w:t>
      </w:r>
    </w:p>
    <w:p>
      <w:pPr>
        <w:pStyle w:val="7"/>
        <w:numPr>
          <w:ilvl w:val="0"/>
          <w:numId w:val="1"/>
        </w:numPr>
        <w:shd w:val="clear" w:color="auto" w:fill="FFFFFF"/>
        <w:rPr>
          <w:rStyle w:val="11"/>
          <w:rFonts w:hint="default" w:ascii="黑体" w:hAnsi="黑体" w:eastAsia="黑体" w:cs="黑体"/>
          <w:sz w:val="32"/>
          <w:szCs w:val="32"/>
          <w:shd w:val="clear" w:color="auto" w:fill="FFFFFF"/>
        </w:rPr>
      </w:pPr>
      <w:r>
        <w:rPr>
          <w:rStyle w:val="11"/>
          <w:rFonts w:ascii="黑体" w:hAnsi="黑体" w:eastAsia="黑体" w:cs="黑体"/>
          <w:sz w:val="32"/>
          <w:szCs w:val="32"/>
          <w:shd w:val="clear" w:color="auto" w:fill="FFFFFF"/>
        </w:rPr>
        <w:t>预算绩效管理情况说明</w:t>
      </w:r>
    </w:p>
    <w:p>
      <w:pPr>
        <w:pStyle w:val="12"/>
        <w:autoSpaceDE w:val="0"/>
        <w:ind w:firstLine="643"/>
        <w:rPr>
          <w:rFonts w:ascii="楷体" w:hAnsi="楷体" w:eastAsia="楷体" w:cs="楷体"/>
          <w:b/>
          <w:bCs/>
          <w:sz w:val="32"/>
          <w:szCs w:val="32"/>
          <w:shd w:val="clear" w:color="auto" w:fill="FFFFFF"/>
        </w:rPr>
      </w:pPr>
      <w:r>
        <w:rPr>
          <w:rFonts w:hint="eastAsia" w:ascii="楷体" w:hAnsi="楷体" w:eastAsia="楷体" w:cs="楷体"/>
          <w:b/>
          <w:bCs/>
          <w:sz w:val="32"/>
          <w:szCs w:val="32"/>
          <w:shd w:val="clear" w:color="auto" w:fill="FFFFFF"/>
        </w:rPr>
        <w:t>（一）单位自评情况</w:t>
      </w:r>
    </w:p>
    <w:p>
      <w:pPr>
        <w:pStyle w:val="13"/>
        <w:autoSpaceDE w:val="0"/>
        <w:spacing w:before="0" w:beforeAutospacing="0" w:line="600" w:lineRule="exact"/>
        <w:rPr>
          <w:rFonts w:hint="eastAsia" w:ascii="方正仿宋_GBK" w:hAnsi="方正仿宋_GBK" w:eastAsia="方正仿宋_GBK" w:cs="方正仿宋_GBK"/>
          <w:sz w:val="32"/>
          <w:szCs w:val="32"/>
          <w:shd w:val="clear" w:color="auto" w:fill="FFFFFF"/>
        </w:rPr>
      </w:pPr>
      <w:r>
        <w:rPr>
          <w:rFonts w:hint="eastAsia" w:ascii="方正仿宋_GBK" w:hAnsi="方正仿宋_GBK" w:eastAsia="方正仿宋_GBK" w:cs="方正仿宋_GBK"/>
          <w:sz w:val="32"/>
          <w:szCs w:val="32"/>
          <w:shd w:val="clear" w:color="auto" w:fill="FFFFFF"/>
        </w:rPr>
        <w:t>根据预算绩效管理要求，本单位对</w:t>
      </w:r>
      <w:r>
        <w:rPr>
          <w:rFonts w:hint="eastAsia" w:ascii="方正仿宋_GBK" w:hAnsi="方正仿宋_GBK" w:eastAsia="方正仿宋_GBK" w:cs="方正仿宋_GBK"/>
          <w:sz w:val="32"/>
          <w:szCs w:val="32"/>
          <w:shd w:val="clear" w:color="auto" w:fill="FFFFFF"/>
          <w:lang w:val="en-US" w:eastAsia="zh-CN"/>
        </w:rPr>
        <w:t>5</w:t>
      </w:r>
      <w:r>
        <w:rPr>
          <w:rFonts w:hint="eastAsia" w:ascii="方正仿宋_GBK" w:hAnsi="方正仿宋_GBK" w:eastAsia="方正仿宋_GBK" w:cs="方正仿宋_GBK"/>
          <w:sz w:val="32"/>
          <w:szCs w:val="32"/>
          <w:shd w:val="clear" w:color="auto" w:fill="FFFFFF"/>
        </w:rPr>
        <w:t>个项目开展了绩效自评,其中,以填报目标自评表形式开展自评</w:t>
      </w:r>
      <w:r>
        <w:rPr>
          <w:rFonts w:hint="eastAsia" w:ascii="方正仿宋_GBK" w:hAnsi="方正仿宋_GBK" w:eastAsia="方正仿宋_GBK" w:cs="方正仿宋_GBK"/>
          <w:sz w:val="32"/>
          <w:szCs w:val="32"/>
          <w:shd w:val="clear" w:color="auto" w:fill="FFFFFF"/>
          <w:lang w:val="en-US" w:eastAsia="zh-CN"/>
        </w:rPr>
        <w:t>5</w:t>
      </w:r>
      <w:r>
        <w:rPr>
          <w:rFonts w:hint="eastAsia" w:ascii="方正仿宋_GBK" w:hAnsi="方正仿宋_GBK" w:eastAsia="方正仿宋_GBK" w:cs="方正仿宋_GBK"/>
          <w:sz w:val="32"/>
          <w:szCs w:val="32"/>
          <w:shd w:val="clear" w:color="auto" w:fill="FFFFFF"/>
        </w:rPr>
        <w:t>项,涉及资金</w:t>
      </w:r>
      <w:r>
        <w:rPr>
          <w:rFonts w:hint="eastAsia" w:ascii="方正仿宋_GBK" w:hAnsi="方正仿宋_GBK" w:eastAsia="方正仿宋_GBK" w:cs="方正仿宋_GBK"/>
          <w:sz w:val="32"/>
          <w:szCs w:val="32"/>
          <w:shd w:val="clear" w:color="auto" w:fill="FFFFFF"/>
          <w:lang w:val="en-US" w:eastAsia="zh-CN"/>
        </w:rPr>
        <w:t>233.3</w:t>
      </w:r>
      <w:r>
        <w:rPr>
          <w:rFonts w:hint="eastAsia" w:ascii="方正仿宋_GBK" w:hAnsi="方正仿宋_GBK" w:eastAsia="方正仿宋_GBK" w:cs="方正仿宋_GBK"/>
          <w:sz w:val="32"/>
          <w:szCs w:val="32"/>
          <w:shd w:val="clear" w:color="auto" w:fill="FFFFFF"/>
        </w:rPr>
        <w:t>万元;以委托第三方形式开展绩效自评0项,涉及资金0万元。</w:t>
      </w:r>
    </w:p>
    <w:tbl>
      <w:tblPr>
        <w:tblStyle w:val="8"/>
        <w:tblW w:w="11058" w:type="dxa"/>
        <w:tblInd w:w="-928"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2194"/>
        <w:gridCol w:w="1490"/>
        <w:gridCol w:w="255"/>
        <w:gridCol w:w="364"/>
        <w:gridCol w:w="940"/>
        <w:gridCol w:w="278"/>
        <w:gridCol w:w="845"/>
        <w:gridCol w:w="204"/>
        <w:gridCol w:w="1613"/>
        <w:gridCol w:w="85"/>
        <w:gridCol w:w="1281"/>
        <w:gridCol w:w="150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gridAfter w:val="1"/>
          <w:wAfter w:w="1509" w:type="dxa"/>
          <w:trHeight w:val="960" w:hRule="atLeast"/>
        </w:trPr>
        <w:tc>
          <w:tcPr>
            <w:tcW w:w="8183" w:type="dxa"/>
            <w:gridSpan w:val="9"/>
            <w:tcBorders>
              <w:top w:val="nil"/>
              <w:left w:val="nil"/>
              <w:bottom w:val="nil"/>
              <w:right w:val="single" w:color="E5E5E5" w:sz="8"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方正小标宋_GBK" w:hAnsi="方正小标宋_GBK" w:eastAsia="方正小标宋_GBK" w:cs="方正小标宋_GBK"/>
                <w:i w:val="0"/>
                <w:iCs w:val="0"/>
                <w:color w:val="333333"/>
                <w:kern w:val="0"/>
                <w:sz w:val="52"/>
                <w:szCs w:val="52"/>
              </w:rPr>
            </w:pPr>
            <w:r>
              <w:rPr>
                <w:rFonts w:hint="eastAsia" w:ascii="方正小标宋_GBK" w:hAnsi="方正小标宋_GBK" w:eastAsia="方正小标宋_GBK" w:cs="方正小标宋_GBK"/>
                <w:i w:val="0"/>
                <w:iCs w:val="0"/>
                <w:color w:val="333333"/>
                <w:kern w:val="0"/>
                <w:sz w:val="52"/>
                <w:szCs w:val="52"/>
              </w:rPr>
              <w:t>202</w:t>
            </w:r>
            <w:r>
              <w:rPr>
                <w:rFonts w:hint="eastAsia" w:ascii="方正小标宋_GBK" w:hAnsi="方正小标宋_GBK" w:eastAsia="方正小标宋_GBK" w:cs="方正小标宋_GBK"/>
                <w:i w:val="0"/>
                <w:iCs w:val="0"/>
                <w:color w:val="333333"/>
                <w:kern w:val="0"/>
                <w:sz w:val="52"/>
                <w:szCs w:val="52"/>
                <w:lang w:val="en-US" w:eastAsia="zh-CN"/>
              </w:rPr>
              <w:t>3</w:t>
            </w:r>
            <w:r>
              <w:rPr>
                <w:rFonts w:hint="eastAsia" w:ascii="方正小标宋_GBK" w:hAnsi="方正小标宋_GBK" w:eastAsia="方正小标宋_GBK" w:cs="方正小标宋_GBK"/>
                <w:i w:val="0"/>
                <w:iCs w:val="0"/>
                <w:color w:val="333333"/>
                <w:kern w:val="0"/>
                <w:sz w:val="52"/>
                <w:szCs w:val="52"/>
              </w:rPr>
              <w:t>年黄金镇整体绩效目标表</w:t>
            </w:r>
          </w:p>
        </w:tc>
        <w:tc>
          <w:tcPr>
            <w:tcW w:w="1366" w:type="dxa"/>
            <w:gridSpan w:val="2"/>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rPr>
                <w:rFonts w:hint="eastAsia" w:ascii="宋体" w:hAnsi="宋体" w:eastAsia="宋体" w:cs="宋体"/>
                <w:i w:val="0"/>
                <w:iCs w:val="0"/>
                <w:color w:val="000000"/>
                <w:kern w:val="0"/>
                <w:sz w:val="22"/>
                <w:szCs w:val="22"/>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gridAfter w:val="1"/>
          <w:wAfter w:w="1509" w:type="dxa"/>
          <w:trHeight w:val="1320" w:hRule="atLeast"/>
        </w:trPr>
        <w:tc>
          <w:tcPr>
            <w:tcW w:w="21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方正黑体_GBK" w:hAnsi="方正黑体_GBK" w:eastAsia="方正黑体_GBK" w:cs="方正黑体_GBK"/>
                <w:i w:val="0"/>
                <w:iCs w:val="0"/>
                <w:color w:val="333333"/>
                <w:kern w:val="0"/>
                <w:sz w:val="28"/>
                <w:szCs w:val="28"/>
              </w:rPr>
            </w:pPr>
            <w:r>
              <w:rPr>
                <w:rFonts w:hint="eastAsia" w:ascii="方正黑体_GBK" w:hAnsi="方正黑体_GBK" w:eastAsia="方正黑体_GBK" w:cs="方正黑体_GBK"/>
                <w:i w:val="0"/>
                <w:iCs w:val="0"/>
                <w:color w:val="333333"/>
                <w:kern w:val="0"/>
                <w:sz w:val="28"/>
                <w:szCs w:val="28"/>
              </w:rPr>
              <w:t>部门(单位)名称</w:t>
            </w:r>
          </w:p>
        </w:tc>
        <w:tc>
          <w:tcPr>
            <w:tcW w:w="1745" w:type="dxa"/>
            <w:gridSpan w:val="2"/>
            <w:tcBorders>
              <w:top w:val="single" w:color="000000" w:sz="4" w:space="0"/>
              <w:left w:val="nil"/>
              <w:bottom w:val="nil"/>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方正黑体_GBK" w:hAnsi="方正黑体_GBK" w:eastAsia="方正黑体_GBK" w:cs="方正黑体_GBK"/>
                <w:i w:val="0"/>
                <w:iCs w:val="0"/>
                <w:color w:val="333333"/>
                <w:kern w:val="0"/>
                <w:sz w:val="28"/>
                <w:szCs w:val="28"/>
              </w:rPr>
            </w:pPr>
            <w:r>
              <w:rPr>
                <w:rFonts w:hint="eastAsia" w:ascii="方正黑体_GBK" w:hAnsi="方正黑体_GBK" w:eastAsia="方正黑体_GBK" w:cs="方正黑体_GBK"/>
                <w:i w:val="0"/>
                <w:iCs w:val="0"/>
                <w:color w:val="333333"/>
                <w:kern w:val="0"/>
                <w:sz w:val="28"/>
                <w:szCs w:val="28"/>
              </w:rPr>
              <w:t>忠县黄金镇人民政府</w:t>
            </w:r>
          </w:p>
        </w:tc>
        <w:tc>
          <w:tcPr>
            <w:tcW w:w="1304" w:type="dxa"/>
            <w:gridSpan w:val="2"/>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方正黑体_GBK" w:hAnsi="方正黑体_GBK" w:eastAsia="方正黑体_GBK" w:cs="方正黑体_GBK"/>
                <w:i w:val="0"/>
                <w:iCs w:val="0"/>
                <w:color w:val="333333"/>
                <w:kern w:val="0"/>
                <w:sz w:val="28"/>
                <w:szCs w:val="28"/>
              </w:rPr>
            </w:pPr>
            <w:r>
              <w:rPr>
                <w:rFonts w:hint="eastAsia" w:ascii="方正黑体_GBK" w:hAnsi="方正黑体_GBK" w:eastAsia="方正黑体_GBK" w:cs="方正黑体_GBK"/>
                <w:i w:val="0"/>
                <w:iCs w:val="0"/>
                <w:color w:val="333333"/>
                <w:kern w:val="0"/>
                <w:sz w:val="28"/>
                <w:szCs w:val="28"/>
              </w:rPr>
              <w:t>预算支出总量(万元)</w:t>
            </w:r>
          </w:p>
        </w:tc>
        <w:tc>
          <w:tcPr>
            <w:tcW w:w="1123" w:type="dxa"/>
            <w:gridSpan w:val="2"/>
            <w:tcBorders>
              <w:top w:val="single" w:color="000000" w:sz="4" w:space="0"/>
              <w:left w:val="nil"/>
              <w:bottom w:val="nil"/>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方正黑体_GBK" w:hAnsi="方正黑体_GBK" w:eastAsia="方正黑体_GBK" w:cs="方正黑体_GBK"/>
                <w:i w:val="0"/>
                <w:iCs w:val="0"/>
                <w:color w:val="333333"/>
                <w:kern w:val="0"/>
                <w:sz w:val="28"/>
                <w:szCs w:val="28"/>
                <w:lang w:val="en-US" w:eastAsia="zh-CN"/>
              </w:rPr>
            </w:pPr>
            <w:r>
              <w:rPr>
                <w:rFonts w:hint="eastAsia" w:ascii="方正黑体_GBK" w:hAnsi="方正黑体_GBK" w:eastAsia="方正黑体_GBK" w:cs="方正黑体_GBK"/>
                <w:i w:val="0"/>
                <w:iCs w:val="0"/>
                <w:color w:val="333333"/>
                <w:kern w:val="0"/>
                <w:sz w:val="28"/>
                <w:szCs w:val="28"/>
                <w:lang w:val="en-US" w:eastAsia="zh-CN"/>
              </w:rPr>
              <w:t>3028.73</w:t>
            </w:r>
          </w:p>
        </w:tc>
        <w:tc>
          <w:tcPr>
            <w:tcW w:w="1817" w:type="dxa"/>
            <w:gridSpan w:val="2"/>
            <w:tcBorders>
              <w:top w:val="single" w:color="000000" w:sz="4" w:space="0"/>
              <w:left w:val="single" w:color="000000" w:sz="4" w:space="0"/>
              <w:bottom w:val="nil"/>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方正黑体_GBK" w:hAnsi="方正黑体_GBK" w:eastAsia="方正黑体_GBK" w:cs="方正黑体_GBK"/>
                <w:i w:val="0"/>
                <w:iCs w:val="0"/>
                <w:color w:val="333333"/>
                <w:kern w:val="0"/>
                <w:sz w:val="28"/>
                <w:szCs w:val="28"/>
              </w:rPr>
            </w:pPr>
            <w:r>
              <w:rPr>
                <w:rFonts w:hint="eastAsia" w:ascii="方正黑体_GBK" w:hAnsi="方正黑体_GBK" w:eastAsia="方正黑体_GBK" w:cs="方正黑体_GBK"/>
                <w:i w:val="0"/>
                <w:iCs w:val="0"/>
                <w:color w:val="333333"/>
                <w:kern w:val="0"/>
                <w:sz w:val="28"/>
                <w:szCs w:val="28"/>
              </w:rPr>
              <w:t>实际支出总量(万元)</w:t>
            </w:r>
          </w:p>
        </w:tc>
        <w:tc>
          <w:tcPr>
            <w:tcW w:w="1366" w:type="dxa"/>
            <w:gridSpan w:val="2"/>
            <w:tcBorders>
              <w:top w:val="single" w:color="000000" w:sz="4" w:space="0"/>
              <w:left w:val="nil"/>
              <w:bottom w:val="nil"/>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right"/>
              <w:textAlignment w:val="center"/>
              <w:rPr>
                <w:rFonts w:hint="eastAsia" w:ascii="方正黑体_GBK" w:hAnsi="方正黑体_GBK" w:eastAsia="方正黑体_GBK" w:cs="方正黑体_GBK"/>
                <w:i w:val="0"/>
                <w:iCs w:val="0"/>
                <w:color w:val="000000"/>
                <w:kern w:val="0"/>
                <w:sz w:val="28"/>
                <w:szCs w:val="28"/>
              </w:rPr>
            </w:pPr>
            <w:r>
              <w:rPr>
                <w:rFonts w:hint="eastAsia" w:ascii="方正黑体_GBK" w:hAnsi="方正黑体_GBK" w:eastAsia="方正黑体_GBK" w:cs="方正黑体_GBK"/>
                <w:i w:val="0"/>
                <w:iCs w:val="0"/>
                <w:color w:val="000000"/>
                <w:kern w:val="0"/>
                <w:sz w:val="28"/>
                <w:szCs w:val="28"/>
              </w:rPr>
              <w:t>4279.53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gridAfter w:val="1"/>
          <w:wAfter w:w="1509" w:type="dxa"/>
          <w:trHeight w:val="1320" w:hRule="atLeast"/>
        </w:trPr>
        <w:tc>
          <w:tcPr>
            <w:tcW w:w="2194" w:type="dxa"/>
            <w:vMerge w:val="restart"/>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方正黑体_GBK" w:hAnsi="方正黑体_GBK" w:eastAsia="方正黑体_GBK" w:cs="方正黑体_GBK"/>
                <w:i w:val="0"/>
                <w:iCs w:val="0"/>
                <w:color w:val="333333"/>
                <w:kern w:val="0"/>
                <w:sz w:val="24"/>
                <w:szCs w:val="24"/>
              </w:rPr>
            </w:pPr>
            <w:r>
              <w:rPr>
                <w:rFonts w:hint="eastAsia" w:ascii="方正黑体_GBK" w:hAnsi="方正黑体_GBK" w:eastAsia="方正黑体_GBK" w:cs="方正黑体_GBK"/>
                <w:i w:val="0"/>
                <w:iCs w:val="0"/>
                <w:color w:val="333333"/>
                <w:kern w:val="0"/>
                <w:sz w:val="24"/>
                <w:szCs w:val="24"/>
              </w:rPr>
              <w:t>当年整体绩效目标</w:t>
            </w:r>
          </w:p>
        </w:tc>
        <w:tc>
          <w:tcPr>
            <w:tcW w:w="3049" w:type="dxa"/>
            <w:gridSpan w:val="4"/>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方正黑体_GBK" w:hAnsi="方正黑体_GBK" w:eastAsia="方正黑体_GBK" w:cs="方正黑体_GBK"/>
                <w:i w:val="0"/>
                <w:iCs w:val="0"/>
                <w:color w:val="333333"/>
                <w:kern w:val="0"/>
                <w:sz w:val="28"/>
                <w:szCs w:val="28"/>
              </w:rPr>
            </w:pPr>
            <w:r>
              <w:rPr>
                <w:rFonts w:hint="eastAsia" w:ascii="方正黑体_GBK" w:hAnsi="方正黑体_GBK" w:eastAsia="方正黑体_GBK" w:cs="方正黑体_GBK"/>
                <w:i w:val="0"/>
                <w:iCs w:val="0"/>
                <w:color w:val="333333"/>
                <w:kern w:val="0"/>
                <w:sz w:val="28"/>
                <w:szCs w:val="28"/>
              </w:rPr>
              <w:t>年初设定目标</w:t>
            </w:r>
          </w:p>
        </w:tc>
        <w:tc>
          <w:tcPr>
            <w:tcW w:w="4306" w:type="dxa"/>
            <w:gridSpan w:val="6"/>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方正黑体_GBK" w:hAnsi="方正黑体_GBK" w:eastAsia="方正黑体_GBK" w:cs="方正黑体_GBK"/>
                <w:i w:val="0"/>
                <w:iCs w:val="0"/>
                <w:color w:val="333333"/>
                <w:kern w:val="0"/>
                <w:sz w:val="28"/>
                <w:szCs w:val="28"/>
              </w:rPr>
            </w:pPr>
            <w:r>
              <w:rPr>
                <w:rFonts w:hint="eastAsia" w:ascii="方正黑体_GBK" w:hAnsi="方正黑体_GBK" w:eastAsia="方正黑体_GBK" w:cs="方正黑体_GBK"/>
                <w:i w:val="0"/>
                <w:iCs w:val="0"/>
                <w:color w:val="333333"/>
                <w:kern w:val="0"/>
                <w:sz w:val="28"/>
                <w:szCs w:val="28"/>
              </w:rPr>
              <w:t>全年实际完成情况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gridAfter w:val="1"/>
          <w:wAfter w:w="1509" w:type="dxa"/>
          <w:trHeight w:val="4360" w:hRule="atLeast"/>
        </w:trPr>
        <w:tc>
          <w:tcPr>
            <w:tcW w:w="2194" w:type="dxa"/>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default" w:ascii="Times New Roman" w:hAnsi="Times New Roman" w:cs="Times New Roman"/>
                <w:sz w:val="20"/>
                <w:szCs w:val="20"/>
              </w:rPr>
            </w:pPr>
          </w:p>
        </w:tc>
        <w:tc>
          <w:tcPr>
            <w:tcW w:w="4172" w:type="dxa"/>
            <w:gridSpan w:val="6"/>
            <w:tcBorders>
              <w:top w:val="nil"/>
              <w:left w:val="nil"/>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333333"/>
                <w:kern w:val="0"/>
                <w:sz w:val="24"/>
                <w:szCs w:val="24"/>
              </w:rPr>
            </w:pPr>
            <w:r>
              <w:rPr>
                <w:rFonts w:hint="eastAsia" w:ascii="宋体" w:hAnsi="宋体" w:eastAsia="宋体" w:cs="宋体"/>
                <w:i w:val="0"/>
                <w:iCs w:val="0"/>
                <w:color w:val="333333"/>
                <w:kern w:val="0"/>
                <w:sz w:val="24"/>
                <w:szCs w:val="24"/>
              </w:rPr>
              <w:t>    </w:t>
            </w:r>
            <w:r>
              <w:rPr>
                <w:rFonts w:ascii="宋体" w:hAnsi="宋体" w:eastAsia="宋体" w:cs="宋体"/>
                <w:sz w:val="24"/>
                <w:szCs w:val="24"/>
              </w:rPr>
              <w:t xml:space="preserve">以习近平新时代中国特色社会主义思想为指导，全面贯彻落实党的二十大精神，按照党中央和市委市政府、县委县政府、镇党委部署，坚持抢抓新机遇、率先跑出加速度的工作总基调，为加快建设全市柑橘产业强镇和全域旅游示范镇奠定坚实基础! </w:t>
            </w:r>
            <w:r>
              <w:rPr>
                <w:rFonts w:hint="eastAsia" w:ascii="宋体" w:hAnsi="宋体" w:eastAsia="宋体" w:cs="宋体"/>
                <w:i w:val="0"/>
                <w:iCs w:val="0"/>
                <w:color w:val="333333"/>
                <w:kern w:val="0"/>
                <w:sz w:val="24"/>
                <w:szCs w:val="24"/>
              </w:rPr>
              <w:t xml:space="preserve"> </w:t>
            </w:r>
          </w:p>
        </w:tc>
        <w:tc>
          <w:tcPr>
            <w:tcW w:w="3183" w:type="dxa"/>
            <w:gridSpan w:val="4"/>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333333"/>
                <w:kern w:val="0"/>
                <w:sz w:val="24"/>
                <w:szCs w:val="24"/>
              </w:rPr>
            </w:pPr>
            <w:r>
              <w:rPr>
                <w:rFonts w:ascii="宋体" w:hAnsi="宋体" w:eastAsia="宋体" w:cs="宋体"/>
                <w:sz w:val="24"/>
                <w:szCs w:val="24"/>
              </w:rPr>
              <w:t>2023年地区生产总值为13.6亿元，同比增长6.7%；农业增加值2.98亿元，同比增长4.1%；工业增加值2.92亿元，同比增长5.6%；固定资产投资2.26亿元，同比增长33.2%；社会消费品零售总额8.92亿元，同比增长16.8%；农村常住居民人均可支配收入22964元，同比增长11.2%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gridAfter w:val="1"/>
          <w:wAfter w:w="1509" w:type="dxa"/>
          <w:trHeight w:val="680" w:hRule="atLeast"/>
        </w:trPr>
        <w:tc>
          <w:tcPr>
            <w:tcW w:w="2194" w:type="dxa"/>
            <w:vMerge w:val="restart"/>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方正黑体_GBK" w:hAnsi="方正黑体_GBK" w:eastAsia="方正黑体_GBK" w:cs="方正黑体_GBK"/>
                <w:i w:val="0"/>
                <w:iCs w:val="0"/>
                <w:color w:val="333333"/>
                <w:kern w:val="0"/>
                <w:sz w:val="24"/>
                <w:szCs w:val="24"/>
              </w:rPr>
            </w:pPr>
            <w:r>
              <w:rPr>
                <w:rFonts w:hint="eastAsia" w:ascii="方正黑体_GBK" w:hAnsi="方正黑体_GBK" w:eastAsia="方正黑体_GBK" w:cs="方正黑体_GBK"/>
                <w:i w:val="0"/>
                <w:iCs w:val="0"/>
                <w:color w:val="333333"/>
                <w:kern w:val="0"/>
                <w:sz w:val="24"/>
                <w:szCs w:val="24"/>
              </w:rPr>
              <w:t>绩效指标</w:t>
            </w:r>
          </w:p>
        </w:tc>
        <w:tc>
          <w:tcPr>
            <w:tcW w:w="149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333333"/>
                <w:kern w:val="0"/>
                <w:sz w:val="24"/>
                <w:szCs w:val="24"/>
              </w:rPr>
            </w:pPr>
            <w:r>
              <w:rPr>
                <w:rFonts w:hint="eastAsia" w:ascii="宋体" w:hAnsi="宋体" w:eastAsia="宋体" w:cs="宋体"/>
                <w:i w:val="0"/>
                <w:iCs w:val="0"/>
                <w:color w:val="333333"/>
                <w:kern w:val="0"/>
                <w:sz w:val="24"/>
                <w:szCs w:val="24"/>
              </w:rPr>
              <w:t>指标</w:t>
            </w:r>
          </w:p>
        </w:tc>
        <w:tc>
          <w:tcPr>
            <w:tcW w:w="619" w:type="dxa"/>
            <w:gridSpan w:val="2"/>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333333"/>
                <w:kern w:val="0"/>
                <w:sz w:val="24"/>
                <w:szCs w:val="24"/>
              </w:rPr>
            </w:pPr>
            <w:r>
              <w:rPr>
                <w:rFonts w:hint="eastAsia" w:ascii="宋体" w:hAnsi="宋体" w:eastAsia="宋体" w:cs="宋体"/>
                <w:i w:val="0"/>
                <w:iCs w:val="0"/>
                <w:color w:val="333333"/>
                <w:kern w:val="0"/>
                <w:sz w:val="24"/>
                <w:szCs w:val="24"/>
              </w:rPr>
              <w:t>指标权重</w:t>
            </w:r>
          </w:p>
        </w:tc>
        <w:tc>
          <w:tcPr>
            <w:tcW w:w="1218" w:type="dxa"/>
            <w:gridSpan w:val="2"/>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333333"/>
                <w:kern w:val="0"/>
                <w:sz w:val="24"/>
                <w:szCs w:val="24"/>
              </w:rPr>
            </w:pPr>
            <w:r>
              <w:rPr>
                <w:rFonts w:hint="eastAsia" w:ascii="宋体" w:hAnsi="宋体" w:eastAsia="宋体" w:cs="宋体"/>
                <w:i w:val="0"/>
                <w:iCs w:val="0"/>
                <w:color w:val="333333"/>
                <w:kern w:val="0"/>
                <w:sz w:val="24"/>
                <w:szCs w:val="24"/>
              </w:rPr>
              <w:t>计量单位</w:t>
            </w:r>
          </w:p>
        </w:tc>
        <w:tc>
          <w:tcPr>
            <w:tcW w:w="1049" w:type="dxa"/>
            <w:gridSpan w:val="2"/>
            <w:tcBorders>
              <w:top w:val="single" w:color="000000" w:sz="4" w:space="0"/>
              <w:left w:val="nil"/>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333333"/>
                <w:kern w:val="0"/>
                <w:sz w:val="24"/>
                <w:szCs w:val="24"/>
              </w:rPr>
            </w:pPr>
            <w:r>
              <w:rPr>
                <w:rFonts w:hint="eastAsia" w:ascii="宋体" w:hAnsi="宋体" w:eastAsia="宋体" w:cs="宋体"/>
                <w:i w:val="0"/>
                <w:iCs w:val="0"/>
                <w:color w:val="333333"/>
                <w:kern w:val="0"/>
                <w:sz w:val="24"/>
                <w:szCs w:val="24"/>
              </w:rPr>
              <w:t>指标性质</w:t>
            </w:r>
          </w:p>
        </w:tc>
        <w:tc>
          <w:tcPr>
            <w:tcW w:w="169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333333"/>
                <w:kern w:val="0"/>
                <w:sz w:val="24"/>
                <w:szCs w:val="24"/>
              </w:rPr>
            </w:pPr>
            <w:r>
              <w:rPr>
                <w:rFonts w:hint="eastAsia" w:ascii="宋体" w:hAnsi="宋体" w:eastAsia="宋体" w:cs="宋体"/>
                <w:i w:val="0"/>
                <w:iCs w:val="0"/>
                <w:color w:val="333333"/>
                <w:kern w:val="0"/>
                <w:sz w:val="24"/>
                <w:szCs w:val="24"/>
              </w:rPr>
              <w:t>指标值</w:t>
            </w:r>
          </w:p>
        </w:tc>
        <w:tc>
          <w:tcPr>
            <w:tcW w:w="1281"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rPr>
            </w:pPr>
            <w:r>
              <w:rPr>
                <w:rFonts w:hint="eastAsia" w:ascii="宋体" w:hAnsi="宋体" w:eastAsia="宋体" w:cs="宋体"/>
                <w:i w:val="0"/>
                <w:iCs w:val="0"/>
                <w:color w:val="000000"/>
                <w:kern w:val="0"/>
                <w:sz w:val="22"/>
                <w:szCs w:val="22"/>
              </w:rPr>
              <w:t>实际完成指标值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gridAfter w:val="1"/>
          <w:wAfter w:w="1509" w:type="dxa"/>
          <w:trHeight w:val="653" w:hRule="atLeast"/>
        </w:trPr>
        <w:tc>
          <w:tcPr>
            <w:tcW w:w="2194" w:type="dxa"/>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default" w:ascii="Times New Roman" w:hAnsi="Times New Roman" w:cs="Times New Roman"/>
                <w:sz w:val="20"/>
                <w:szCs w:val="20"/>
              </w:rPr>
            </w:pPr>
          </w:p>
        </w:tc>
        <w:tc>
          <w:tcPr>
            <w:tcW w:w="149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333333"/>
                <w:kern w:val="0"/>
                <w:sz w:val="24"/>
                <w:szCs w:val="24"/>
              </w:rPr>
            </w:pPr>
            <w:r>
              <w:rPr>
                <w:rFonts w:hint="eastAsia" w:ascii="宋体" w:hAnsi="宋体" w:eastAsia="宋体" w:cs="宋体"/>
                <w:i w:val="0"/>
                <w:iCs w:val="0"/>
                <w:color w:val="333333"/>
                <w:kern w:val="0"/>
                <w:sz w:val="24"/>
                <w:szCs w:val="24"/>
              </w:rPr>
              <w:t>全社会固定资产投资增长</w:t>
            </w:r>
          </w:p>
        </w:tc>
        <w:tc>
          <w:tcPr>
            <w:tcW w:w="619" w:type="dxa"/>
            <w:gridSpan w:val="2"/>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iCs w:val="0"/>
                <w:color w:val="333333"/>
                <w:kern w:val="0"/>
                <w:sz w:val="24"/>
                <w:szCs w:val="24"/>
                <w:lang w:val="en-US" w:eastAsia="zh-CN"/>
              </w:rPr>
            </w:pPr>
            <w:r>
              <w:rPr>
                <w:rFonts w:hint="eastAsia" w:ascii="Times New Roman" w:hAnsi="Times New Roman" w:cs="Times New Roman"/>
                <w:i w:val="0"/>
                <w:iCs w:val="0"/>
                <w:color w:val="333333"/>
                <w:kern w:val="0"/>
                <w:sz w:val="24"/>
                <w:szCs w:val="24"/>
                <w:lang w:val="en-US" w:eastAsia="zh-CN"/>
              </w:rPr>
              <w:t>20</w:t>
            </w:r>
          </w:p>
        </w:tc>
        <w:tc>
          <w:tcPr>
            <w:tcW w:w="1218" w:type="dxa"/>
            <w:gridSpan w:val="2"/>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iCs w:val="0"/>
                <w:color w:val="333333"/>
                <w:kern w:val="0"/>
                <w:sz w:val="24"/>
                <w:szCs w:val="24"/>
                <w:lang w:val="en-US" w:eastAsia="zh-CN"/>
              </w:rPr>
            </w:pPr>
            <w:r>
              <w:rPr>
                <w:rFonts w:hint="eastAsia" w:ascii="Times New Roman" w:hAnsi="Times New Roman" w:cs="Times New Roman"/>
                <w:i w:val="0"/>
                <w:iCs w:val="0"/>
                <w:color w:val="333333"/>
                <w:kern w:val="0"/>
                <w:sz w:val="24"/>
                <w:szCs w:val="24"/>
                <w:lang w:val="en-US" w:eastAsia="zh-CN"/>
              </w:rPr>
              <w:t>%</w:t>
            </w:r>
          </w:p>
        </w:tc>
        <w:tc>
          <w:tcPr>
            <w:tcW w:w="1049" w:type="dxa"/>
            <w:gridSpan w:val="2"/>
            <w:tcBorders>
              <w:top w:val="single" w:color="000000" w:sz="4" w:space="0"/>
              <w:left w:val="nil"/>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iCs w:val="0"/>
                <w:color w:val="333333"/>
                <w:kern w:val="0"/>
                <w:sz w:val="24"/>
                <w:szCs w:val="24"/>
                <w:lang w:val="en-US" w:eastAsia="zh-CN"/>
              </w:rPr>
            </w:pPr>
            <w:r>
              <w:rPr>
                <w:rFonts w:hint="default" w:ascii="Times New Roman" w:hAnsi="Times New Roman" w:cs="Times New Roman"/>
                <w:i w:val="0"/>
                <w:iCs w:val="0"/>
                <w:color w:val="333333"/>
                <w:kern w:val="0"/>
                <w:sz w:val="24"/>
                <w:szCs w:val="24"/>
                <w:lang w:val="en-US" w:eastAsia="zh-CN"/>
              </w:rPr>
              <w:t>≥</w:t>
            </w:r>
          </w:p>
        </w:tc>
        <w:tc>
          <w:tcPr>
            <w:tcW w:w="169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iCs w:val="0"/>
                <w:color w:val="333333"/>
                <w:kern w:val="0"/>
                <w:sz w:val="24"/>
                <w:szCs w:val="24"/>
                <w:lang w:val="en-US" w:eastAsia="zh-CN"/>
              </w:rPr>
            </w:pPr>
            <w:r>
              <w:rPr>
                <w:rFonts w:hint="eastAsia" w:ascii="Times New Roman" w:hAnsi="Times New Roman" w:cs="Times New Roman"/>
                <w:i w:val="0"/>
                <w:iCs w:val="0"/>
                <w:color w:val="333333"/>
                <w:kern w:val="0"/>
                <w:sz w:val="24"/>
                <w:szCs w:val="24"/>
                <w:lang w:val="en-US" w:eastAsia="zh-CN"/>
              </w:rPr>
              <w:t>15</w:t>
            </w:r>
          </w:p>
        </w:tc>
        <w:tc>
          <w:tcPr>
            <w:tcW w:w="1281"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imes New Roman" w:hAnsi="Times New Roman" w:cs="Times New Roman"/>
                <w:i w:val="0"/>
                <w:iCs w:val="0"/>
                <w:color w:val="333333"/>
                <w:kern w:val="0"/>
                <w:sz w:val="24"/>
                <w:szCs w:val="24"/>
                <w:lang w:val="en-US" w:eastAsia="zh-CN"/>
              </w:rPr>
            </w:pPr>
            <w:r>
              <w:rPr>
                <w:rFonts w:hint="eastAsia" w:ascii="Times New Roman" w:hAnsi="Times New Roman" w:cs="Times New Roman"/>
                <w:i w:val="0"/>
                <w:iCs w:val="0"/>
                <w:color w:val="333333"/>
                <w:kern w:val="0"/>
                <w:sz w:val="24"/>
                <w:szCs w:val="24"/>
                <w:lang w:val="en-US" w:eastAsia="zh-CN"/>
              </w:rPr>
              <w:t>33.2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gridAfter w:val="1"/>
          <w:wAfter w:w="1509" w:type="dxa"/>
          <w:trHeight w:val="417" w:hRule="atLeast"/>
        </w:trPr>
        <w:tc>
          <w:tcPr>
            <w:tcW w:w="2194" w:type="dxa"/>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default" w:ascii="Times New Roman" w:hAnsi="Times New Roman" w:cs="Times New Roman"/>
                <w:sz w:val="20"/>
                <w:szCs w:val="20"/>
              </w:rPr>
            </w:pPr>
          </w:p>
        </w:tc>
        <w:tc>
          <w:tcPr>
            <w:tcW w:w="149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333333"/>
                <w:kern w:val="0"/>
                <w:sz w:val="24"/>
                <w:szCs w:val="24"/>
              </w:rPr>
            </w:pPr>
            <w:r>
              <w:rPr>
                <w:rFonts w:hint="eastAsia" w:ascii="宋体" w:hAnsi="宋体" w:eastAsia="宋体" w:cs="宋体"/>
                <w:i w:val="0"/>
                <w:iCs w:val="0"/>
                <w:color w:val="333333"/>
                <w:kern w:val="0"/>
                <w:sz w:val="24"/>
                <w:szCs w:val="24"/>
              </w:rPr>
              <w:t>全镇地区生产总值增长</w:t>
            </w:r>
          </w:p>
        </w:tc>
        <w:tc>
          <w:tcPr>
            <w:tcW w:w="619" w:type="dxa"/>
            <w:gridSpan w:val="2"/>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iCs w:val="0"/>
                <w:color w:val="333333"/>
                <w:kern w:val="0"/>
                <w:sz w:val="24"/>
                <w:szCs w:val="24"/>
                <w:lang w:val="en-US" w:eastAsia="zh-CN"/>
              </w:rPr>
            </w:pPr>
            <w:r>
              <w:rPr>
                <w:rFonts w:hint="eastAsia" w:ascii="Times New Roman" w:hAnsi="Times New Roman" w:cs="Times New Roman"/>
                <w:i w:val="0"/>
                <w:iCs w:val="0"/>
                <w:color w:val="333333"/>
                <w:kern w:val="0"/>
                <w:sz w:val="24"/>
                <w:szCs w:val="24"/>
                <w:lang w:val="en-US" w:eastAsia="zh-CN"/>
              </w:rPr>
              <w:t>20</w:t>
            </w:r>
          </w:p>
        </w:tc>
        <w:tc>
          <w:tcPr>
            <w:tcW w:w="1218" w:type="dxa"/>
            <w:gridSpan w:val="2"/>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iCs w:val="0"/>
                <w:color w:val="333333"/>
                <w:kern w:val="0"/>
                <w:sz w:val="24"/>
                <w:szCs w:val="24"/>
                <w:lang w:val="en-US" w:eastAsia="zh-CN"/>
              </w:rPr>
            </w:pPr>
            <w:r>
              <w:rPr>
                <w:rFonts w:hint="eastAsia" w:ascii="Times New Roman" w:hAnsi="Times New Roman" w:cs="Times New Roman"/>
                <w:i w:val="0"/>
                <w:iCs w:val="0"/>
                <w:color w:val="333333"/>
                <w:kern w:val="0"/>
                <w:sz w:val="24"/>
                <w:szCs w:val="24"/>
                <w:lang w:val="en-US" w:eastAsia="zh-CN"/>
              </w:rPr>
              <w:t>%</w:t>
            </w:r>
          </w:p>
        </w:tc>
        <w:tc>
          <w:tcPr>
            <w:tcW w:w="1049" w:type="dxa"/>
            <w:gridSpan w:val="2"/>
            <w:tcBorders>
              <w:top w:val="single" w:color="000000" w:sz="4" w:space="0"/>
              <w:left w:val="nil"/>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iCs w:val="0"/>
                <w:color w:val="333333"/>
                <w:kern w:val="0"/>
                <w:sz w:val="24"/>
                <w:szCs w:val="24"/>
                <w:lang w:val="en-US" w:eastAsia="zh-CN"/>
              </w:rPr>
            </w:pPr>
            <w:r>
              <w:rPr>
                <w:rFonts w:hint="default" w:ascii="Times New Roman" w:hAnsi="Times New Roman" w:cs="Times New Roman"/>
                <w:i w:val="0"/>
                <w:iCs w:val="0"/>
                <w:color w:val="333333"/>
                <w:kern w:val="0"/>
                <w:sz w:val="24"/>
                <w:szCs w:val="24"/>
                <w:lang w:val="en-US" w:eastAsia="zh-CN"/>
              </w:rPr>
              <w:t>≥</w:t>
            </w:r>
          </w:p>
        </w:tc>
        <w:tc>
          <w:tcPr>
            <w:tcW w:w="169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iCs w:val="0"/>
                <w:color w:val="333333"/>
                <w:kern w:val="0"/>
                <w:sz w:val="24"/>
                <w:szCs w:val="24"/>
                <w:lang w:val="en-US" w:eastAsia="zh-CN"/>
              </w:rPr>
            </w:pPr>
            <w:r>
              <w:rPr>
                <w:rFonts w:hint="eastAsia" w:ascii="Times New Roman" w:hAnsi="Times New Roman" w:cs="Times New Roman"/>
                <w:i w:val="0"/>
                <w:iCs w:val="0"/>
                <w:color w:val="333333"/>
                <w:kern w:val="0"/>
                <w:sz w:val="24"/>
                <w:szCs w:val="24"/>
                <w:lang w:val="en-US" w:eastAsia="zh-CN"/>
              </w:rPr>
              <w:t>6</w:t>
            </w:r>
          </w:p>
        </w:tc>
        <w:tc>
          <w:tcPr>
            <w:tcW w:w="1281"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imes New Roman" w:hAnsi="Times New Roman" w:cs="Times New Roman"/>
                <w:i w:val="0"/>
                <w:iCs w:val="0"/>
                <w:color w:val="333333"/>
                <w:kern w:val="0"/>
                <w:sz w:val="24"/>
                <w:szCs w:val="24"/>
                <w:lang w:val="en-US" w:eastAsia="zh-CN"/>
              </w:rPr>
            </w:pPr>
            <w:r>
              <w:rPr>
                <w:rFonts w:hint="eastAsia" w:ascii="Times New Roman" w:hAnsi="Times New Roman" w:cs="Times New Roman"/>
                <w:i w:val="0"/>
                <w:iCs w:val="0"/>
                <w:color w:val="333333"/>
                <w:kern w:val="0"/>
                <w:sz w:val="24"/>
                <w:szCs w:val="24"/>
                <w:lang w:val="en-US" w:eastAsia="zh-CN"/>
              </w:rPr>
              <w:t>6.7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gridAfter w:val="1"/>
          <w:wAfter w:w="1509" w:type="dxa"/>
          <w:trHeight w:val="570" w:hRule="atLeast"/>
        </w:trPr>
        <w:tc>
          <w:tcPr>
            <w:tcW w:w="2194" w:type="dxa"/>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default" w:ascii="Times New Roman" w:hAnsi="Times New Roman" w:cs="Times New Roman"/>
                <w:sz w:val="20"/>
                <w:szCs w:val="20"/>
              </w:rPr>
            </w:pPr>
          </w:p>
        </w:tc>
        <w:tc>
          <w:tcPr>
            <w:tcW w:w="149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333333"/>
                <w:kern w:val="0"/>
                <w:sz w:val="24"/>
                <w:szCs w:val="24"/>
              </w:rPr>
            </w:pPr>
            <w:r>
              <w:rPr>
                <w:rFonts w:hint="eastAsia" w:ascii="宋体" w:hAnsi="宋体" w:eastAsia="宋体" w:cs="宋体"/>
                <w:i w:val="0"/>
                <w:iCs w:val="0"/>
                <w:color w:val="333333"/>
                <w:kern w:val="0"/>
                <w:sz w:val="24"/>
                <w:szCs w:val="24"/>
              </w:rPr>
              <w:t>社会消费品零售总额增长</w:t>
            </w:r>
          </w:p>
        </w:tc>
        <w:tc>
          <w:tcPr>
            <w:tcW w:w="619" w:type="dxa"/>
            <w:gridSpan w:val="2"/>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iCs w:val="0"/>
                <w:color w:val="333333"/>
                <w:kern w:val="0"/>
                <w:sz w:val="24"/>
                <w:szCs w:val="24"/>
                <w:lang w:val="en-US" w:eastAsia="zh-CN"/>
              </w:rPr>
            </w:pPr>
            <w:r>
              <w:rPr>
                <w:rFonts w:hint="eastAsia" w:ascii="Times New Roman" w:hAnsi="Times New Roman" w:cs="Times New Roman"/>
                <w:i w:val="0"/>
                <w:iCs w:val="0"/>
                <w:color w:val="333333"/>
                <w:kern w:val="0"/>
                <w:sz w:val="24"/>
                <w:szCs w:val="24"/>
                <w:lang w:val="en-US" w:eastAsia="zh-CN"/>
              </w:rPr>
              <w:t>20</w:t>
            </w:r>
          </w:p>
        </w:tc>
        <w:tc>
          <w:tcPr>
            <w:tcW w:w="1218" w:type="dxa"/>
            <w:gridSpan w:val="2"/>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iCs w:val="0"/>
                <w:color w:val="333333"/>
                <w:kern w:val="0"/>
                <w:sz w:val="24"/>
                <w:szCs w:val="24"/>
                <w:lang w:val="en-US" w:eastAsia="zh-CN"/>
              </w:rPr>
            </w:pPr>
            <w:r>
              <w:rPr>
                <w:rFonts w:hint="eastAsia" w:ascii="Times New Roman" w:hAnsi="Times New Roman" w:cs="Times New Roman"/>
                <w:i w:val="0"/>
                <w:iCs w:val="0"/>
                <w:color w:val="333333"/>
                <w:kern w:val="0"/>
                <w:sz w:val="24"/>
                <w:szCs w:val="24"/>
                <w:lang w:val="en-US" w:eastAsia="zh-CN"/>
              </w:rPr>
              <w:t>%</w:t>
            </w:r>
          </w:p>
        </w:tc>
        <w:tc>
          <w:tcPr>
            <w:tcW w:w="1049" w:type="dxa"/>
            <w:gridSpan w:val="2"/>
            <w:tcBorders>
              <w:top w:val="single" w:color="000000" w:sz="4" w:space="0"/>
              <w:left w:val="nil"/>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iCs w:val="0"/>
                <w:color w:val="333333"/>
                <w:kern w:val="0"/>
                <w:sz w:val="24"/>
                <w:szCs w:val="24"/>
                <w:lang w:val="en-US" w:eastAsia="zh-CN"/>
              </w:rPr>
            </w:pPr>
            <w:r>
              <w:rPr>
                <w:rFonts w:hint="default" w:ascii="Times New Roman" w:hAnsi="Times New Roman" w:cs="Times New Roman"/>
                <w:i w:val="0"/>
                <w:iCs w:val="0"/>
                <w:color w:val="333333"/>
                <w:kern w:val="0"/>
                <w:sz w:val="24"/>
                <w:szCs w:val="24"/>
                <w:lang w:val="en-US" w:eastAsia="zh-CN"/>
              </w:rPr>
              <w:t>≥</w:t>
            </w:r>
          </w:p>
        </w:tc>
        <w:tc>
          <w:tcPr>
            <w:tcW w:w="169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iCs w:val="0"/>
                <w:color w:val="333333"/>
                <w:kern w:val="0"/>
                <w:sz w:val="24"/>
                <w:szCs w:val="24"/>
                <w:lang w:val="en-US" w:eastAsia="zh-CN"/>
              </w:rPr>
            </w:pPr>
            <w:r>
              <w:rPr>
                <w:rFonts w:hint="eastAsia" w:ascii="Times New Roman" w:hAnsi="Times New Roman" w:cs="Times New Roman"/>
                <w:i w:val="0"/>
                <w:iCs w:val="0"/>
                <w:color w:val="333333"/>
                <w:kern w:val="0"/>
                <w:sz w:val="24"/>
                <w:szCs w:val="24"/>
                <w:lang w:val="en-US" w:eastAsia="zh-CN"/>
              </w:rPr>
              <w:t>16</w:t>
            </w:r>
          </w:p>
        </w:tc>
        <w:tc>
          <w:tcPr>
            <w:tcW w:w="1281"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imes New Roman" w:hAnsi="Times New Roman" w:cs="Times New Roman"/>
                <w:i w:val="0"/>
                <w:iCs w:val="0"/>
                <w:color w:val="333333"/>
                <w:kern w:val="0"/>
                <w:sz w:val="24"/>
                <w:szCs w:val="24"/>
                <w:lang w:val="en-US" w:eastAsia="zh-CN"/>
              </w:rPr>
            </w:pPr>
            <w:r>
              <w:rPr>
                <w:rFonts w:hint="eastAsia" w:ascii="Times New Roman" w:hAnsi="Times New Roman" w:cs="Times New Roman"/>
                <w:i w:val="0"/>
                <w:iCs w:val="0"/>
                <w:color w:val="333333"/>
                <w:kern w:val="0"/>
                <w:sz w:val="24"/>
                <w:szCs w:val="24"/>
                <w:lang w:val="en-US" w:eastAsia="zh-CN"/>
              </w:rPr>
              <w:t>16.8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gridAfter w:val="1"/>
          <w:wAfter w:w="1509" w:type="dxa"/>
          <w:trHeight w:val="638" w:hRule="atLeast"/>
        </w:trPr>
        <w:tc>
          <w:tcPr>
            <w:tcW w:w="2194" w:type="dxa"/>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default" w:ascii="Times New Roman" w:hAnsi="Times New Roman" w:cs="Times New Roman"/>
                <w:sz w:val="20"/>
                <w:szCs w:val="20"/>
              </w:rPr>
            </w:pPr>
          </w:p>
        </w:tc>
        <w:tc>
          <w:tcPr>
            <w:tcW w:w="149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333333"/>
                <w:kern w:val="0"/>
                <w:sz w:val="24"/>
                <w:szCs w:val="24"/>
              </w:rPr>
            </w:pPr>
            <w:r>
              <w:rPr>
                <w:rFonts w:hint="eastAsia" w:ascii="宋体" w:hAnsi="宋体" w:eastAsia="宋体" w:cs="宋体"/>
                <w:i w:val="0"/>
                <w:iCs w:val="0"/>
                <w:color w:val="333333"/>
                <w:kern w:val="0"/>
                <w:sz w:val="24"/>
                <w:szCs w:val="24"/>
              </w:rPr>
              <w:t>乡村旅游累计接待游客10万人次，实现旅游收入50万元</w:t>
            </w:r>
          </w:p>
        </w:tc>
        <w:tc>
          <w:tcPr>
            <w:tcW w:w="619" w:type="dxa"/>
            <w:gridSpan w:val="2"/>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iCs w:val="0"/>
                <w:color w:val="333333"/>
                <w:kern w:val="0"/>
                <w:sz w:val="24"/>
                <w:szCs w:val="24"/>
                <w:lang w:val="en-US" w:eastAsia="zh-CN"/>
              </w:rPr>
            </w:pPr>
            <w:r>
              <w:rPr>
                <w:rFonts w:hint="eastAsia" w:ascii="Times New Roman" w:hAnsi="Times New Roman" w:cs="Times New Roman"/>
                <w:i w:val="0"/>
                <w:iCs w:val="0"/>
                <w:color w:val="333333"/>
                <w:kern w:val="0"/>
                <w:sz w:val="24"/>
                <w:szCs w:val="24"/>
                <w:lang w:val="en-US" w:eastAsia="zh-CN"/>
              </w:rPr>
              <w:t>20</w:t>
            </w:r>
          </w:p>
        </w:tc>
        <w:tc>
          <w:tcPr>
            <w:tcW w:w="1218" w:type="dxa"/>
            <w:gridSpan w:val="2"/>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iCs w:val="0"/>
                <w:color w:val="333333"/>
                <w:kern w:val="0"/>
                <w:sz w:val="24"/>
                <w:szCs w:val="24"/>
                <w:lang w:val="en-US" w:eastAsia="zh-CN"/>
              </w:rPr>
            </w:pPr>
            <w:r>
              <w:rPr>
                <w:rFonts w:hint="eastAsia" w:ascii="Times New Roman" w:hAnsi="Times New Roman" w:cs="Times New Roman"/>
                <w:i w:val="0"/>
                <w:iCs w:val="0"/>
                <w:color w:val="333333"/>
                <w:kern w:val="0"/>
                <w:sz w:val="24"/>
                <w:szCs w:val="24"/>
                <w:lang w:val="en-US" w:eastAsia="zh-CN"/>
              </w:rPr>
              <w:t>万元/年</w:t>
            </w:r>
          </w:p>
        </w:tc>
        <w:tc>
          <w:tcPr>
            <w:tcW w:w="1049" w:type="dxa"/>
            <w:gridSpan w:val="2"/>
            <w:tcBorders>
              <w:top w:val="single" w:color="000000" w:sz="4" w:space="0"/>
              <w:left w:val="nil"/>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iCs w:val="0"/>
                <w:color w:val="333333"/>
                <w:kern w:val="0"/>
                <w:sz w:val="24"/>
                <w:szCs w:val="24"/>
                <w:lang w:val="en-US" w:eastAsia="zh-CN"/>
              </w:rPr>
            </w:pPr>
            <w:r>
              <w:rPr>
                <w:rFonts w:hint="default" w:ascii="Times New Roman" w:hAnsi="Times New Roman" w:cs="Times New Roman"/>
                <w:i w:val="0"/>
                <w:iCs w:val="0"/>
                <w:color w:val="333333"/>
                <w:kern w:val="0"/>
                <w:sz w:val="24"/>
                <w:szCs w:val="24"/>
                <w:lang w:val="en-US" w:eastAsia="zh-CN"/>
              </w:rPr>
              <w:t>≥</w:t>
            </w:r>
          </w:p>
        </w:tc>
        <w:tc>
          <w:tcPr>
            <w:tcW w:w="169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iCs w:val="0"/>
                <w:color w:val="333333"/>
                <w:kern w:val="0"/>
                <w:sz w:val="24"/>
                <w:szCs w:val="24"/>
                <w:lang w:val="en-US" w:eastAsia="zh-CN"/>
              </w:rPr>
            </w:pPr>
            <w:r>
              <w:rPr>
                <w:rFonts w:hint="eastAsia" w:ascii="Times New Roman" w:hAnsi="Times New Roman" w:cs="Times New Roman"/>
                <w:i w:val="0"/>
                <w:iCs w:val="0"/>
                <w:color w:val="333333"/>
                <w:kern w:val="0"/>
                <w:sz w:val="24"/>
                <w:szCs w:val="24"/>
                <w:lang w:val="en-US" w:eastAsia="zh-CN"/>
              </w:rPr>
              <w:t>50</w:t>
            </w:r>
          </w:p>
        </w:tc>
        <w:tc>
          <w:tcPr>
            <w:tcW w:w="1281"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imes New Roman" w:hAnsi="Times New Roman" w:cs="Times New Roman"/>
                <w:i w:val="0"/>
                <w:iCs w:val="0"/>
                <w:color w:val="333333"/>
                <w:kern w:val="0"/>
                <w:sz w:val="24"/>
                <w:szCs w:val="24"/>
                <w:lang w:val="en-US" w:eastAsia="zh-CN"/>
              </w:rPr>
            </w:pPr>
            <w:r>
              <w:rPr>
                <w:rFonts w:hint="eastAsia" w:ascii="Times New Roman" w:hAnsi="Times New Roman" w:cs="Times New Roman"/>
                <w:i w:val="0"/>
                <w:iCs w:val="0"/>
                <w:color w:val="333333"/>
                <w:kern w:val="0"/>
                <w:sz w:val="24"/>
                <w:szCs w:val="24"/>
                <w:lang w:val="en-US" w:eastAsia="zh-CN"/>
              </w:rPr>
              <w:t>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gridAfter w:val="1"/>
          <w:wAfter w:w="1509" w:type="dxa"/>
          <w:trHeight w:val="633" w:hRule="atLeast"/>
        </w:trPr>
        <w:tc>
          <w:tcPr>
            <w:tcW w:w="2194" w:type="dxa"/>
            <w:vMerge w:val="continue"/>
            <w:tcBorders>
              <w:top w:val="nil"/>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default" w:ascii="Times New Roman" w:hAnsi="Times New Roman" w:cs="Times New Roman"/>
                <w:sz w:val="20"/>
                <w:szCs w:val="20"/>
              </w:rPr>
            </w:pPr>
          </w:p>
        </w:tc>
        <w:tc>
          <w:tcPr>
            <w:tcW w:w="1490" w:type="dxa"/>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iCs w:val="0"/>
                <w:color w:val="333333"/>
                <w:kern w:val="0"/>
                <w:sz w:val="24"/>
                <w:szCs w:val="24"/>
              </w:rPr>
            </w:pPr>
            <w:r>
              <w:rPr>
                <w:rFonts w:hint="eastAsia" w:ascii="宋体" w:hAnsi="宋体" w:eastAsia="宋体" w:cs="宋体"/>
                <w:i w:val="0"/>
                <w:iCs w:val="0"/>
                <w:color w:val="333333"/>
                <w:kern w:val="0"/>
                <w:sz w:val="24"/>
                <w:szCs w:val="24"/>
              </w:rPr>
              <w:t>农民人均可支配收入增长</w:t>
            </w:r>
          </w:p>
        </w:tc>
        <w:tc>
          <w:tcPr>
            <w:tcW w:w="619" w:type="dxa"/>
            <w:gridSpan w:val="2"/>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iCs w:val="0"/>
                <w:color w:val="333333"/>
                <w:kern w:val="0"/>
                <w:sz w:val="24"/>
                <w:szCs w:val="24"/>
                <w:lang w:val="en-US" w:eastAsia="zh-CN"/>
              </w:rPr>
            </w:pPr>
            <w:r>
              <w:rPr>
                <w:rFonts w:hint="eastAsia" w:ascii="Times New Roman" w:hAnsi="Times New Roman" w:cs="Times New Roman"/>
                <w:i w:val="0"/>
                <w:iCs w:val="0"/>
                <w:color w:val="333333"/>
                <w:kern w:val="0"/>
                <w:sz w:val="24"/>
                <w:szCs w:val="24"/>
                <w:lang w:val="en-US" w:eastAsia="zh-CN"/>
              </w:rPr>
              <w:t>20</w:t>
            </w:r>
          </w:p>
        </w:tc>
        <w:tc>
          <w:tcPr>
            <w:tcW w:w="1218" w:type="dxa"/>
            <w:gridSpan w:val="2"/>
            <w:tcBorders>
              <w:top w:val="single" w:color="000000" w:sz="4" w:space="0"/>
              <w:left w:val="nil"/>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iCs w:val="0"/>
                <w:color w:val="333333"/>
                <w:kern w:val="0"/>
                <w:sz w:val="24"/>
                <w:szCs w:val="24"/>
                <w:lang w:val="en-US" w:eastAsia="zh-CN"/>
              </w:rPr>
            </w:pPr>
            <w:r>
              <w:rPr>
                <w:rFonts w:hint="eastAsia" w:ascii="Times New Roman" w:hAnsi="Times New Roman" w:cs="Times New Roman"/>
                <w:i w:val="0"/>
                <w:iCs w:val="0"/>
                <w:color w:val="333333"/>
                <w:kern w:val="0"/>
                <w:sz w:val="24"/>
                <w:szCs w:val="24"/>
                <w:lang w:val="en-US" w:eastAsia="zh-CN"/>
              </w:rPr>
              <w:t>%</w:t>
            </w:r>
          </w:p>
        </w:tc>
        <w:tc>
          <w:tcPr>
            <w:tcW w:w="1049" w:type="dxa"/>
            <w:gridSpan w:val="2"/>
            <w:tcBorders>
              <w:top w:val="single" w:color="000000" w:sz="4" w:space="0"/>
              <w:left w:val="nil"/>
              <w:bottom w:val="single" w:color="000000" w:sz="4" w:space="0"/>
              <w:right w:val="nil"/>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iCs w:val="0"/>
                <w:color w:val="333333"/>
                <w:kern w:val="0"/>
                <w:sz w:val="24"/>
                <w:szCs w:val="24"/>
                <w:lang w:val="en-US" w:eastAsia="zh-CN"/>
              </w:rPr>
            </w:pPr>
            <w:r>
              <w:rPr>
                <w:rFonts w:hint="default" w:ascii="Times New Roman" w:hAnsi="Times New Roman" w:cs="Times New Roman"/>
                <w:i w:val="0"/>
                <w:iCs w:val="0"/>
                <w:color w:val="333333"/>
                <w:kern w:val="0"/>
                <w:sz w:val="24"/>
                <w:szCs w:val="24"/>
                <w:lang w:val="en-US" w:eastAsia="zh-CN"/>
              </w:rPr>
              <w:t>≥</w:t>
            </w:r>
          </w:p>
        </w:tc>
        <w:tc>
          <w:tcPr>
            <w:tcW w:w="1698" w:type="dxa"/>
            <w:gridSpan w:val="2"/>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iCs w:val="0"/>
                <w:color w:val="333333"/>
                <w:kern w:val="0"/>
                <w:sz w:val="24"/>
                <w:szCs w:val="24"/>
                <w:lang w:val="en-US" w:eastAsia="zh-CN"/>
              </w:rPr>
            </w:pPr>
            <w:r>
              <w:rPr>
                <w:rFonts w:hint="eastAsia" w:ascii="Times New Roman" w:hAnsi="Times New Roman" w:cs="Times New Roman"/>
                <w:i w:val="0"/>
                <w:iCs w:val="0"/>
                <w:color w:val="333333"/>
                <w:kern w:val="0"/>
                <w:sz w:val="24"/>
                <w:szCs w:val="24"/>
                <w:lang w:val="en-US" w:eastAsia="zh-CN"/>
              </w:rPr>
              <w:t>11</w:t>
            </w:r>
          </w:p>
        </w:tc>
        <w:tc>
          <w:tcPr>
            <w:tcW w:w="1281" w:type="dxa"/>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pPr>
              <w:keepNext w:val="0"/>
              <w:keepLines w:val="0"/>
              <w:widowControl/>
              <w:suppressLineNumbers w:val="0"/>
              <w:jc w:val="center"/>
              <w:textAlignment w:val="center"/>
              <w:rPr>
                <w:rFonts w:hint="eastAsia" w:ascii="Times New Roman" w:hAnsi="Times New Roman" w:cs="Times New Roman"/>
                <w:i w:val="0"/>
                <w:iCs w:val="0"/>
                <w:color w:val="333333"/>
                <w:kern w:val="0"/>
                <w:sz w:val="24"/>
                <w:szCs w:val="24"/>
                <w:lang w:val="en-US" w:eastAsia="zh-CN"/>
              </w:rPr>
            </w:pPr>
            <w:r>
              <w:rPr>
                <w:rFonts w:hint="eastAsia" w:ascii="Times New Roman" w:hAnsi="Times New Roman" w:cs="Times New Roman"/>
                <w:i w:val="0"/>
                <w:iCs w:val="0"/>
                <w:color w:val="333333"/>
                <w:kern w:val="0"/>
                <w:sz w:val="24"/>
                <w:szCs w:val="24"/>
                <w:lang w:val="en-US" w:eastAsia="zh-CN"/>
              </w:rPr>
              <w:t>11.2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1406" w:hRule="atLeast"/>
        </w:trPr>
        <w:tc>
          <w:tcPr>
            <w:tcW w:w="11058" w:type="dxa"/>
            <w:gridSpan w:val="12"/>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tabs>
                <w:tab w:val="left" w:pos="1573"/>
              </w:tabs>
              <w:jc w:val="both"/>
              <w:textAlignment w:val="center"/>
              <w:rPr>
                <w:rFonts w:hint="eastAsia" w:ascii="方正小标宋_GBK" w:hAnsi="方正小标宋_GBK" w:eastAsia="方正小标宋_GBK" w:cs="方正小标宋_GBK"/>
                <w:i w:val="0"/>
                <w:iCs w:val="0"/>
                <w:color w:val="000000"/>
                <w:kern w:val="0"/>
                <w:sz w:val="40"/>
                <w:szCs w:val="40"/>
                <w:lang w:eastAsia="zh-CN"/>
              </w:rPr>
            </w:pPr>
            <w:r>
              <w:rPr>
                <w:rFonts w:hint="eastAsia" w:ascii="方正小标宋_GBK" w:hAnsi="方正小标宋_GBK" w:eastAsia="方正小标宋_GBK" w:cs="方正小标宋_GBK"/>
                <w:i w:val="0"/>
                <w:iCs w:val="0"/>
                <w:color w:val="000000"/>
                <w:kern w:val="0"/>
                <w:sz w:val="40"/>
                <w:szCs w:val="40"/>
                <w:lang w:eastAsia="zh-CN"/>
              </w:rPr>
              <w:tab/>
            </w:r>
            <w:r>
              <w:rPr>
                <w:rFonts w:hint="eastAsia" w:ascii="方正小标宋_GBK" w:hAnsi="方正小标宋_GBK" w:eastAsia="方正小标宋_GBK" w:cs="方正小标宋_GBK"/>
                <w:i w:val="0"/>
                <w:iCs w:val="0"/>
                <w:color w:val="000000"/>
                <w:kern w:val="0"/>
                <w:sz w:val="40"/>
                <w:szCs w:val="40"/>
                <w:lang w:eastAsia="zh-CN"/>
              </w:rPr>
              <w:object>
                <v:shape id="_x0000_i1025" o:spt="75" type="#_x0000_t75" style="height:628.4pt;width:551.1pt;" o:ole="t" filled="f" o:preferrelative="t" stroked="f" coordsize="21600,21600">
                  <v:path/>
                  <v:fill on="f" focussize="0,0"/>
                  <v:stroke on="f"/>
                  <v:imagedata r:id="rId8" o:title=""/>
                  <o:lock v:ext="edit" aspectratio="f"/>
                  <w10:wrap type="none"/>
                  <w10:anchorlock/>
                </v:shape>
                <o:OLEObject Type="Embed" ProgID="Excel.Sheet.8" ShapeID="_x0000_i1025" DrawAspect="Content" ObjectID="_1468075725" r:id="rId7">
                  <o:LockedField>false</o:LockedField>
                </o:OLEObject>
              </w:object>
            </w:r>
          </w:p>
        </w:tc>
      </w:tr>
    </w:tbl>
    <w:p>
      <w:pPr>
        <w:pStyle w:val="13"/>
        <w:autoSpaceDE w:val="0"/>
        <w:spacing w:before="0" w:beforeAutospacing="0" w:line="600" w:lineRule="exact"/>
        <w:rPr>
          <w:rFonts w:hint="eastAsia" w:ascii="方正仿宋_GBK" w:hAnsi="方正仿宋_GBK" w:eastAsia="方正仿宋_GBK" w:cs="方正仿宋_GBK"/>
          <w:sz w:val="32"/>
          <w:szCs w:val="32"/>
          <w:shd w:val="clear" w:color="auto" w:fill="FFFFFF"/>
        </w:rPr>
      </w:pPr>
    </w:p>
    <w:p>
      <w:pPr>
        <w:pStyle w:val="13"/>
        <w:spacing w:before="0" w:beforeAutospacing="0"/>
        <w:rPr>
          <w:rFonts w:ascii="方正仿宋_GBK" w:hAnsi="方正仿宋_GBK" w:eastAsia="方正仿宋_GBK" w:cs="方正仿宋_GBK"/>
          <w:sz w:val="32"/>
          <w:szCs w:val="32"/>
          <w:shd w:val="clear" w:color="auto" w:fill="FFFFFF"/>
        </w:rPr>
      </w:pPr>
    </w:p>
    <w:p>
      <w:pPr>
        <w:keepNext w:val="0"/>
        <w:keepLines w:val="0"/>
        <w:pageBreakBefore w:val="0"/>
        <w:widowControl/>
        <w:kinsoku w:val="0"/>
        <w:wordWrap/>
        <w:overflowPunct/>
        <w:topLinePunct w:val="0"/>
        <w:autoSpaceDE w:val="0"/>
        <w:autoSpaceDN w:val="0"/>
        <w:bidi w:val="0"/>
        <w:adjustRightInd w:val="0"/>
        <w:snapToGrid w:val="0"/>
        <w:spacing w:before="130" w:line="594" w:lineRule="exact"/>
        <w:ind w:left="1276" w:firstLine="852" w:firstLineChars="200"/>
        <w:jc w:val="both"/>
        <w:textAlignment w:val="baseline"/>
        <w:rPr>
          <w:rFonts w:hint="eastAsia" w:ascii="Times New Roman" w:hAnsi="Times New Roman" w:eastAsia="方正小标宋_GBK" w:cs="方正小标宋_GBK"/>
          <w:b w:val="0"/>
          <w:bCs w:val="0"/>
          <w:spacing w:val="-7"/>
          <w:position w:val="2"/>
          <w:sz w:val="44"/>
          <w:szCs w:val="44"/>
        </w:rPr>
      </w:pPr>
      <w:r>
        <w:rPr>
          <w:rFonts w:hint="eastAsia" w:ascii="Times New Roman" w:hAnsi="Times New Roman" w:eastAsia="方正小标宋_GBK" w:cs="方正小标宋_GBK"/>
          <w:b w:val="0"/>
          <w:bCs w:val="0"/>
          <w:spacing w:val="-7"/>
          <w:position w:val="2"/>
          <w:sz w:val="44"/>
          <w:szCs w:val="44"/>
        </w:rPr>
        <w:t>2023</w:t>
      </w:r>
      <w:r>
        <w:rPr>
          <w:rFonts w:hint="eastAsia" w:ascii="Times New Roman" w:hAnsi="Times New Roman" w:eastAsia="方正小标宋_GBK" w:cs="方正小标宋_GBK"/>
          <w:b w:val="0"/>
          <w:bCs w:val="0"/>
          <w:spacing w:val="-89"/>
          <w:position w:val="2"/>
          <w:sz w:val="44"/>
          <w:szCs w:val="44"/>
        </w:rPr>
        <w:t xml:space="preserve"> </w:t>
      </w:r>
      <w:r>
        <w:rPr>
          <w:rFonts w:hint="eastAsia" w:ascii="Times New Roman" w:hAnsi="Times New Roman" w:eastAsia="方正小标宋_GBK" w:cs="方正小标宋_GBK"/>
          <w:b w:val="0"/>
          <w:bCs w:val="0"/>
          <w:spacing w:val="-7"/>
          <w:position w:val="2"/>
          <w:sz w:val="44"/>
          <w:szCs w:val="44"/>
        </w:rPr>
        <w:t>年度绩效自评报告</w:t>
      </w:r>
    </w:p>
    <w:p>
      <w:pPr>
        <w:keepNext w:val="0"/>
        <w:keepLines w:val="0"/>
        <w:pageBreakBefore w:val="0"/>
        <w:widowControl/>
        <w:kinsoku w:val="0"/>
        <w:wordWrap/>
        <w:overflowPunct/>
        <w:topLinePunct w:val="0"/>
        <w:autoSpaceDE w:val="0"/>
        <w:autoSpaceDN w:val="0"/>
        <w:bidi w:val="0"/>
        <w:adjustRightInd w:val="0"/>
        <w:snapToGrid w:val="0"/>
        <w:spacing w:before="101" w:line="594" w:lineRule="exact"/>
        <w:ind w:firstLine="668" w:firstLineChars="200"/>
        <w:textAlignment w:val="baseline"/>
        <w:rPr>
          <w:rFonts w:hint="eastAsia" w:ascii="Times New Roman" w:hAnsi="Times New Roman" w:eastAsia="方正黑体_GBK" w:cs="方正黑体_GBK"/>
          <w:sz w:val="32"/>
          <w:szCs w:val="31"/>
        </w:rPr>
      </w:pPr>
      <w:r>
        <w:rPr>
          <w:rFonts w:hint="eastAsia" w:ascii="Times New Roman" w:hAnsi="Times New Roman" w:eastAsia="方正黑体_GBK" w:cs="方正黑体_GBK"/>
          <w:spacing w:val="7"/>
          <w:sz w:val="32"/>
          <w:szCs w:val="31"/>
        </w:rPr>
        <w:t>一、绩效目标分解下达情况</w:t>
      </w:r>
    </w:p>
    <w:p>
      <w:pPr>
        <w:pStyle w:val="2"/>
        <w:keepNext w:val="0"/>
        <w:keepLines w:val="0"/>
        <w:pageBreakBefore w:val="0"/>
        <w:widowControl/>
        <w:kinsoku w:val="0"/>
        <w:wordWrap/>
        <w:overflowPunct/>
        <w:topLinePunct w:val="0"/>
        <w:autoSpaceDE w:val="0"/>
        <w:autoSpaceDN w:val="0"/>
        <w:bidi w:val="0"/>
        <w:adjustRightInd w:val="0"/>
        <w:snapToGrid w:val="0"/>
        <w:spacing w:before="205" w:line="594" w:lineRule="exact"/>
        <w:ind w:firstLine="660" w:firstLineChars="200"/>
        <w:textAlignment w:val="baseline"/>
        <w:rPr>
          <w:rFonts w:hint="eastAsia" w:ascii="Times New Roman" w:hAnsi="Times New Roman" w:eastAsia="方正楷体_GBK" w:cs="方正楷体_GBK"/>
          <w:spacing w:val="5"/>
          <w:sz w:val="32"/>
        </w:rPr>
      </w:pPr>
      <w:r>
        <w:rPr>
          <w:rFonts w:hint="eastAsia" w:ascii="Times New Roman" w:hAnsi="Times New Roman" w:eastAsia="方正楷体_GBK" w:cs="方正楷体_GBK"/>
          <w:spacing w:val="5"/>
          <w:sz w:val="32"/>
        </w:rPr>
        <w:t>（一）下达</w:t>
      </w:r>
      <w:r>
        <w:rPr>
          <w:rFonts w:hint="eastAsia" w:ascii="Times New Roman" w:hAnsi="Times New Roman" w:eastAsia="方正楷体_GBK" w:cs="方正楷体_GBK"/>
          <w:spacing w:val="-54"/>
          <w:sz w:val="32"/>
        </w:rPr>
        <w:t xml:space="preserve"> </w:t>
      </w:r>
      <w:r>
        <w:rPr>
          <w:rFonts w:hint="eastAsia" w:ascii="Times New Roman" w:hAnsi="Times New Roman" w:eastAsia="方正楷体_GBK" w:cs="方正楷体_GBK"/>
          <w:spacing w:val="5"/>
          <w:sz w:val="32"/>
        </w:rPr>
        <w:t>预算和绩效目标情况。</w:t>
      </w:r>
    </w:p>
    <w:p>
      <w:pPr>
        <w:pStyle w:val="4"/>
        <w:keepNext w:val="0"/>
        <w:keepLines w:val="0"/>
        <w:pageBreakBefore w:val="0"/>
        <w:widowControl/>
        <w:kinsoku w:val="0"/>
        <w:wordWrap/>
        <w:overflowPunct/>
        <w:topLinePunct w:val="0"/>
        <w:autoSpaceDE w:val="0"/>
        <w:autoSpaceDN w:val="0"/>
        <w:bidi w:val="0"/>
        <w:adjustRightInd w:val="0"/>
        <w:snapToGrid w:val="0"/>
        <w:spacing w:line="594" w:lineRule="exact"/>
        <w:ind w:firstLine="640" w:firstLineChars="200"/>
        <w:textAlignment w:val="baseline"/>
        <w:rPr>
          <w:rFonts w:hint="eastAsia" w:ascii="Times New Roman" w:hAnsi="Times New Roman" w:eastAsia="方正仿宋_GBK" w:cs="方正仿宋_GBK"/>
          <w:snapToGrid w:val="0"/>
          <w:color w:val="000000"/>
          <w:spacing w:val="5"/>
          <w:kern w:val="0"/>
          <w:sz w:val="32"/>
          <w:szCs w:val="31"/>
          <w:lang w:val="en-US" w:eastAsia="en-US" w:bidi="ar-SA"/>
        </w:rPr>
      </w:pPr>
      <w:r>
        <w:rPr>
          <w:rFonts w:ascii="Times New Roman" w:hAnsi="Times New Roman" w:eastAsia="方正仿宋_GBK"/>
          <w:sz w:val="32"/>
          <w:szCs w:val="32"/>
        </w:rPr>
        <w:t>忠县黄金镇小河村</w:t>
      </w:r>
      <w:r>
        <w:rPr>
          <w:rFonts w:hint="eastAsia" w:ascii="Times New Roman" w:hAnsi="Times New Roman" w:eastAsia="方正仿宋_GBK"/>
          <w:sz w:val="32"/>
          <w:szCs w:val="32"/>
          <w:lang w:eastAsia="zh-CN"/>
        </w:rPr>
        <w:t>便民</w:t>
      </w:r>
      <w:r>
        <w:rPr>
          <w:rFonts w:ascii="Times New Roman" w:hAnsi="Times New Roman" w:eastAsia="方正仿宋_GBK"/>
          <w:sz w:val="32"/>
          <w:szCs w:val="32"/>
        </w:rPr>
        <w:t>服务中心项目</w:t>
      </w:r>
      <w:r>
        <w:rPr>
          <w:rFonts w:hint="eastAsia" w:ascii="Times New Roman" w:hAnsi="Times New Roman" w:eastAsia="方正仿宋_GBK"/>
          <w:sz w:val="32"/>
          <w:szCs w:val="32"/>
          <w:lang w:eastAsia="zh-CN"/>
        </w:rPr>
        <w:t>，</w:t>
      </w:r>
      <w:r>
        <w:rPr>
          <w:rFonts w:hint="eastAsia" w:ascii="Times New Roman" w:hAnsi="Times New Roman" w:eastAsia="方正仿宋_GBK" w:cs="方正仿宋_GBK"/>
          <w:snapToGrid w:val="0"/>
          <w:color w:val="000000"/>
          <w:spacing w:val="5"/>
          <w:kern w:val="0"/>
          <w:sz w:val="32"/>
          <w:szCs w:val="31"/>
          <w:lang w:val="en-US" w:eastAsia="zh-CN" w:bidi="ar-SA"/>
        </w:rPr>
        <w:t>该项目</w:t>
      </w:r>
      <w:r>
        <w:rPr>
          <w:rFonts w:hint="eastAsia" w:ascii="Times New Roman" w:hAnsi="Times New Roman" w:eastAsia="方正仿宋_GBK" w:cs="方正仿宋_GBK"/>
          <w:snapToGrid w:val="0"/>
          <w:color w:val="000000"/>
          <w:spacing w:val="5"/>
          <w:kern w:val="0"/>
          <w:sz w:val="32"/>
          <w:szCs w:val="31"/>
          <w:lang w:val="en-US" w:eastAsia="en-US" w:bidi="ar-SA"/>
        </w:rPr>
        <w:t>建设内容</w:t>
      </w:r>
      <w:r>
        <w:rPr>
          <w:rFonts w:hint="eastAsia" w:ascii="Times New Roman" w:hAnsi="Times New Roman" w:eastAsia="方正仿宋_GBK" w:cs="方正仿宋_GBK"/>
          <w:snapToGrid w:val="0"/>
          <w:color w:val="000000"/>
          <w:spacing w:val="5"/>
          <w:kern w:val="0"/>
          <w:sz w:val="32"/>
          <w:szCs w:val="31"/>
          <w:lang w:val="en-US" w:eastAsia="zh-CN" w:bidi="ar-SA"/>
        </w:rPr>
        <w:t>：</w:t>
      </w:r>
      <w:r>
        <w:rPr>
          <w:rFonts w:hint="eastAsia" w:ascii="Times New Roman" w:hAnsi="Times New Roman" w:eastAsia="方正仿宋_GBK" w:cs="方正仿宋_GBK"/>
          <w:snapToGrid w:val="0"/>
          <w:color w:val="000000"/>
          <w:spacing w:val="5"/>
          <w:kern w:val="0"/>
          <w:sz w:val="32"/>
          <w:szCs w:val="31"/>
          <w:lang w:val="en-US" w:eastAsia="en-US" w:bidi="ar-SA"/>
        </w:rPr>
        <w:t>新建占地面积300平方米、建筑面积600平方米便民服务中心及配套设施完善。</w:t>
      </w:r>
    </w:p>
    <w:p>
      <w:pPr>
        <w:pStyle w:val="4"/>
        <w:keepNext w:val="0"/>
        <w:keepLines w:val="0"/>
        <w:pageBreakBefore w:val="0"/>
        <w:widowControl/>
        <w:numPr>
          <w:ilvl w:val="0"/>
          <w:numId w:val="2"/>
        </w:numPr>
        <w:kinsoku w:val="0"/>
        <w:wordWrap/>
        <w:overflowPunct/>
        <w:topLinePunct w:val="0"/>
        <w:autoSpaceDE w:val="0"/>
        <w:autoSpaceDN w:val="0"/>
        <w:bidi w:val="0"/>
        <w:adjustRightInd w:val="0"/>
        <w:snapToGrid w:val="0"/>
        <w:spacing w:line="594" w:lineRule="exact"/>
        <w:ind w:firstLine="660" w:firstLineChars="200"/>
        <w:textAlignment w:val="baseline"/>
        <w:rPr>
          <w:rFonts w:hint="eastAsia" w:ascii="Times New Roman" w:hAnsi="Times New Roman" w:eastAsia="方正楷体_GBK" w:cs="方正楷体_GBK"/>
          <w:snapToGrid w:val="0"/>
          <w:color w:val="000000"/>
          <w:spacing w:val="5"/>
          <w:kern w:val="0"/>
          <w:sz w:val="32"/>
          <w:szCs w:val="31"/>
          <w:lang w:val="en-US" w:eastAsia="en-US" w:bidi="ar-SA"/>
        </w:rPr>
      </w:pPr>
      <w:r>
        <w:rPr>
          <w:rFonts w:hint="eastAsia" w:ascii="Times New Roman" w:hAnsi="Times New Roman" w:eastAsia="方正楷体_GBK" w:cs="方正楷体_GBK"/>
          <w:snapToGrid w:val="0"/>
          <w:color w:val="000000"/>
          <w:spacing w:val="5"/>
          <w:kern w:val="0"/>
          <w:sz w:val="32"/>
          <w:szCs w:val="31"/>
          <w:lang w:val="en-US" w:eastAsia="en-US" w:bidi="ar-SA"/>
        </w:rPr>
        <w:t>资金安排、分解下达预算和绩效目标情况。</w:t>
      </w:r>
    </w:p>
    <w:p>
      <w:pPr>
        <w:pStyle w:val="2"/>
        <w:keepNext w:val="0"/>
        <w:keepLines w:val="0"/>
        <w:pageBreakBefore w:val="0"/>
        <w:widowControl/>
        <w:kinsoku w:val="0"/>
        <w:wordWrap/>
        <w:overflowPunct/>
        <w:topLinePunct w:val="0"/>
        <w:autoSpaceDE w:val="0"/>
        <w:autoSpaceDN w:val="0"/>
        <w:bidi w:val="0"/>
        <w:adjustRightInd w:val="0"/>
        <w:snapToGrid w:val="0"/>
        <w:spacing w:line="594" w:lineRule="exact"/>
        <w:ind w:firstLine="664" w:firstLineChars="200"/>
        <w:textAlignment w:val="baseline"/>
        <w:rPr>
          <w:rFonts w:hint="eastAsia" w:ascii="Times New Roman" w:hAnsi="Times New Roman" w:eastAsia="方正仿宋_GBK" w:cs="方正仿宋_GBK"/>
          <w:spacing w:val="6"/>
          <w:sz w:val="32"/>
          <w:lang w:val="en-US" w:eastAsia="zh-CN"/>
        </w:rPr>
      </w:pPr>
      <w:r>
        <w:rPr>
          <w:rFonts w:hint="eastAsia" w:ascii="Times New Roman" w:hAnsi="Times New Roman" w:eastAsia="方正仿宋_GBK" w:cs="方正仿宋_GBK"/>
          <w:spacing w:val="6"/>
          <w:sz w:val="32"/>
          <w:lang w:val="en-US" w:eastAsia="en-US"/>
        </w:rPr>
        <w:t>新建占地面积300平方米、建筑面积600平方米便民服务中心及配套设施完善。</w:t>
      </w:r>
    </w:p>
    <w:p>
      <w:pPr>
        <w:keepNext w:val="0"/>
        <w:keepLines w:val="0"/>
        <w:pageBreakBefore w:val="0"/>
        <w:widowControl/>
        <w:kinsoku w:val="0"/>
        <w:wordWrap/>
        <w:overflowPunct/>
        <w:topLinePunct w:val="0"/>
        <w:autoSpaceDE w:val="0"/>
        <w:autoSpaceDN w:val="0"/>
        <w:bidi w:val="0"/>
        <w:adjustRightInd w:val="0"/>
        <w:snapToGrid w:val="0"/>
        <w:spacing w:before="207" w:line="594" w:lineRule="exact"/>
        <w:ind w:firstLine="672" w:firstLineChars="200"/>
        <w:textAlignment w:val="baseline"/>
        <w:rPr>
          <w:rFonts w:hint="eastAsia" w:ascii="Times New Roman" w:hAnsi="Times New Roman" w:eastAsia="方正黑体_GBK" w:cs="方正黑体_GBK"/>
          <w:sz w:val="32"/>
          <w:szCs w:val="31"/>
        </w:rPr>
      </w:pPr>
      <w:r>
        <w:rPr>
          <w:rFonts w:hint="eastAsia" w:ascii="Times New Roman" w:hAnsi="Times New Roman" w:eastAsia="方正黑体_GBK" w:cs="方正黑体_GBK"/>
          <w:spacing w:val="8"/>
          <w:position w:val="19"/>
          <w:sz w:val="32"/>
          <w:szCs w:val="31"/>
        </w:rPr>
        <w:t>二、绩效目标完成情况分析</w:t>
      </w:r>
    </w:p>
    <w:p>
      <w:pPr>
        <w:keepNext w:val="0"/>
        <w:keepLines w:val="0"/>
        <w:pageBreakBefore w:val="0"/>
        <w:widowControl/>
        <w:kinsoku w:val="0"/>
        <w:wordWrap/>
        <w:overflowPunct/>
        <w:topLinePunct w:val="0"/>
        <w:autoSpaceDE w:val="0"/>
        <w:autoSpaceDN w:val="0"/>
        <w:bidi w:val="0"/>
        <w:adjustRightInd w:val="0"/>
        <w:snapToGrid w:val="0"/>
        <w:spacing w:before="1" w:line="594" w:lineRule="exact"/>
        <w:ind w:firstLine="672" w:firstLineChars="200"/>
        <w:textAlignment w:val="baseline"/>
        <w:rPr>
          <w:rFonts w:hint="eastAsia" w:ascii="Times New Roman" w:hAnsi="Times New Roman" w:eastAsia="方正楷体_GBK" w:cs="方正楷体_GBK"/>
          <w:sz w:val="32"/>
          <w:szCs w:val="31"/>
        </w:rPr>
      </w:pPr>
      <w:r>
        <w:rPr>
          <w:rFonts w:hint="eastAsia" w:ascii="Times New Roman" w:hAnsi="Times New Roman" w:eastAsia="方正楷体_GBK" w:cs="方正楷体_GBK"/>
          <w:spacing w:val="8"/>
          <w:sz w:val="32"/>
          <w:szCs w:val="31"/>
        </w:rPr>
        <w:t>（一）资金投入情况分析。</w:t>
      </w:r>
    </w:p>
    <w:p>
      <w:pPr>
        <w:keepNext w:val="0"/>
        <w:keepLines w:val="0"/>
        <w:pageBreakBefore w:val="0"/>
        <w:widowControl/>
        <w:suppressLineNumbers w:val="0"/>
        <w:kinsoku w:val="0"/>
        <w:wordWrap/>
        <w:overflowPunct/>
        <w:topLinePunct w:val="0"/>
        <w:autoSpaceDE w:val="0"/>
        <w:autoSpaceDN w:val="0"/>
        <w:bidi w:val="0"/>
        <w:adjustRightInd w:val="0"/>
        <w:snapToGrid w:val="0"/>
        <w:spacing w:line="594" w:lineRule="exact"/>
        <w:ind w:firstLine="660" w:firstLineChars="200"/>
        <w:jc w:val="left"/>
        <w:textAlignment w:val="baseline"/>
        <w:rPr>
          <w:rFonts w:hint="eastAsia" w:ascii="Times New Roman" w:hAnsi="Times New Roman" w:eastAsia="方正仿宋_GBK" w:cs="方正仿宋_GBK"/>
          <w:sz w:val="32"/>
          <w:szCs w:val="32"/>
          <w:lang w:eastAsia="zh-CN"/>
        </w:rPr>
      </w:pPr>
      <w:r>
        <w:rPr>
          <w:rFonts w:hint="eastAsia" w:ascii="Times New Roman" w:hAnsi="Times New Roman" w:eastAsia="方正仿宋_GBK" w:cs="方正仿宋_GBK"/>
          <w:spacing w:val="5"/>
          <w:sz w:val="32"/>
          <w:szCs w:val="32"/>
        </w:rPr>
        <w:t>1.项目资金到位情况分析。</w:t>
      </w:r>
      <w:r>
        <w:rPr>
          <w:rFonts w:hint="eastAsia" w:ascii="Times New Roman" w:hAnsi="Times New Roman" w:eastAsia="方正仿宋_GBK" w:cs="方正仿宋_GBK"/>
          <w:spacing w:val="5"/>
          <w:sz w:val="32"/>
          <w:szCs w:val="32"/>
          <w:lang w:eastAsia="zh-CN"/>
        </w:rPr>
        <w:t>该项目到位资金</w:t>
      </w:r>
      <w:r>
        <w:rPr>
          <w:rFonts w:hint="eastAsia" w:ascii="Times New Roman" w:hAnsi="Times New Roman" w:eastAsia="方正仿宋_GBK" w:cs="方正仿宋_GBK"/>
          <w:spacing w:val="5"/>
          <w:sz w:val="32"/>
          <w:szCs w:val="32"/>
        </w:rPr>
        <w:t>230万元</w:t>
      </w:r>
      <w:r>
        <w:rPr>
          <w:rFonts w:hint="eastAsia" w:ascii="Times New Roman" w:hAnsi="Times New Roman" w:eastAsia="方正仿宋_GBK" w:cs="方正仿宋_GBK"/>
          <w:spacing w:val="5"/>
          <w:sz w:val="32"/>
          <w:szCs w:val="32"/>
          <w:lang w:eastAsia="zh-CN"/>
        </w:rPr>
        <w:t>，其中，</w:t>
      </w:r>
      <w:r>
        <w:rPr>
          <w:rFonts w:hint="eastAsia" w:ascii="Times New Roman" w:hAnsi="Times New Roman" w:eastAsia="方正仿宋_GBK" w:cs="方正仿宋_GBK"/>
          <w:spacing w:val="5"/>
          <w:sz w:val="32"/>
          <w:szCs w:val="32"/>
        </w:rPr>
        <w:t>对口帮扶资金</w:t>
      </w:r>
      <w:r>
        <w:rPr>
          <w:rFonts w:hint="eastAsia" w:ascii="Times New Roman" w:hAnsi="Times New Roman" w:eastAsia="方正仿宋_GBK" w:cs="方正仿宋_GBK"/>
          <w:spacing w:val="5"/>
          <w:sz w:val="32"/>
          <w:szCs w:val="32"/>
          <w:lang w:val="en-US" w:eastAsia="zh-CN"/>
        </w:rPr>
        <w:t>50</w:t>
      </w:r>
      <w:r>
        <w:rPr>
          <w:rFonts w:hint="eastAsia" w:ascii="Times New Roman" w:hAnsi="Times New Roman" w:eastAsia="方正仿宋_GBK" w:cs="方正仿宋_GBK"/>
          <w:spacing w:val="5"/>
          <w:sz w:val="32"/>
          <w:szCs w:val="32"/>
        </w:rPr>
        <w:t>万元</w:t>
      </w:r>
      <w:r>
        <w:rPr>
          <w:rFonts w:hint="eastAsia" w:ascii="Times New Roman" w:hAnsi="Times New Roman" w:eastAsia="方正仿宋_GBK" w:cs="方正仿宋_GBK"/>
          <w:spacing w:val="5"/>
          <w:sz w:val="32"/>
          <w:szCs w:val="32"/>
          <w:lang w:eastAsia="zh-CN"/>
        </w:rPr>
        <w:t>，</w:t>
      </w:r>
      <w:r>
        <w:rPr>
          <w:rFonts w:hint="eastAsia" w:ascii="Times New Roman" w:hAnsi="Times New Roman" w:eastAsia="方正仿宋_GBK" w:cs="方正仿宋_GBK"/>
          <w:spacing w:val="5"/>
          <w:sz w:val="32"/>
          <w:szCs w:val="32"/>
        </w:rPr>
        <w:t>自筹</w:t>
      </w:r>
      <w:r>
        <w:rPr>
          <w:rFonts w:hint="eastAsia" w:ascii="Times New Roman" w:hAnsi="Times New Roman" w:eastAsia="方正仿宋_GBK" w:cs="方正仿宋_GBK"/>
          <w:spacing w:val="5"/>
          <w:sz w:val="32"/>
          <w:szCs w:val="32"/>
          <w:lang w:val="en-US" w:eastAsia="zh-CN"/>
        </w:rPr>
        <w:t>180</w:t>
      </w:r>
      <w:r>
        <w:rPr>
          <w:rFonts w:hint="eastAsia" w:ascii="Times New Roman" w:hAnsi="Times New Roman" w:eastAsia="方正仿宋_GBK" w:cs="方正仿宋_GBK"/>
          <w:spacing w:val="5"/>
          <w:sz w:val="32"/>
          <w:szCs w:val="32"/>
        </w:rPr>
        <w:t>万元</w:t>
      </w:r>
      <w:r>
        <w:rPr>
          <w:rFonts w:hint="eastAsia" w:ascii="Times New Roman" w:hAnsi="Times New Roman" w:eastAsia="方正仿宋_GBK" w:cs="方正仿宋_GBK"/>
          <w:spacing w:val="5"/>
          <w:sz w:val="32"/>
          <w:szCs w:val="32"/>
          <w:lang w:val="en-US" w:eastAsia="zh-CN"/>
        </w:rPr>
        <w:t>，资金已经全部到位</w:t>
      </w:r>
      <w:r>
        <w:rPr>
          <w:rFonts w:hint="eastAsia" w:ascii="Times New Roman" w:hAnsi="Times New Roman" w:eastAsia="方正仿宋_GBK" w:cs="方正仿宋_GBK"/>
          <w:spacing w:val="5"/>
          <w:sz w:val="32"/>
          <w:szCs w:val="32"/>
          <w:lang w:eastAsia="zh-CN"/>
        </w:rPr>
        <w:t>。</w:t>
      </w:r>
    </w:p>
    <w:p>
      <w:pPr>
        <w:pStyle w:val="2"/>
        <w:keepNext w:val="0"/>
        <w:keepLines w:val="0"/>
        <w:pageBreakBefore w:val="0"/>
        <w:widowControl/>
        <w:kinsoku w:val="0"/>
        <w:wordWrap/>
        <w:overflowPunct/>
        <w:topLinePunct w:val="0"/>
        <w:autoSpaceDE w:val="0"/>
        <w:autoSpaceDN w:val="0"/>
        <w:bidi w:val="0"/>
        <w:adjustRightInd w:val="0"/>
        <w:snapToGrid w:val="0"/>
        <w:spacing w:before="208" w:line="594" w:lineRule="exact"/>
        <w:ind w:firstLine="664" w:firstLineChars="200"/>
        <w:textAlignment w:val="baseline"/>
        <w:rPr>
          <w:rFonts w:hint="eastAsia" w:ascii="Times New Roman" w:hAnsi="Times New Roman" w:eastAsia="方正仿宋_GBK" w:cs="方正仿宋_GBK"/>
          <w:spacing w:val="6"/>
          <w:sz w:val="32"/>
          <w:lang w:val="en-US" w:eastAsia="zh-CN"/>
        </w:rPr>
      </w:pPr>
      <w:r>
        <w:rPr>
          <w:rFonts w:hint="eastAsia" w:ascii="Times New Roman" w:hAnsi="Times New Roman" w:eastAsia="方正仿宋_GBK" w:cs="方正仿宋_GBK"/>
          <w:spacing w:val="6"/>
          <w:sz w:val="32"/>
        </w:rPr>
        <w:t>2.项目资金执行情况分析。</w:t>
      </w:r>
      <w:r>
        <w:rPr>
          <w:rFonts w:hint="eastAsia" w:ascii="Times New Roman" w:hAnsi="Times New Roman" w:eastAsia="方正仿宋_GBK" w:cs="方正仿宋_GBK"/>
          <w:spacing w:val="6"/>
          <w:sz w:val="32"/>
          <w:lang w:val="en-US" w:eastAsia="zh-CN"/>
        </w:rPr>
        <w:t>该项目目前已完工并结算审计，结算价为: 万元，实际完成支付  万元，剩余的  元于2024年  月实现末端支付，并缴纳百分之五的质量保证金  万元。</w:t>
      </w:r>
    </w:p>
    <w:p>
      <w:pPr>
        <w:keepNext w:val="0"/>
        <w:keepLines w:val="0"/>
        <w:pageBreakBefore w:val="0"/>
        <w:widowControl/>
        <w:suppressLineNumbers w:val="0"/>
        <w:kinsoku w:val="0"/>
        <w:wordWrap/>
        <w:overflowPunct/>
        <w:topLinePunct w:val="0"/>
        <w:autoSpaceDE w:val="0"/>
        <w:autoSpaceDN w:val="0"/>
        <w:bidi w:val="0"/>
        <w:adjustRightInd w:val="0"/>
        <w:snapToGrid w:val="0"/>
        <w:spacing w:line="594" w:lineRule="exact"/>
        <w:ind w:firstLine="660" w:firstLineChars="200"/>
        <w:jc w:val="left"/>
        <w:textAlignment w:val="baseline"/>
        <w:rPr>
          <w:rFonts w:hint="eastAsia" w:ascii="Times New Roman" w:hAnsi="Times New Roman" w:eastAsia="方正仿宋_GBK" w:cs="方正仿宋_GBK"/>
          <w:spacing w:val="5"/>
          <w:sz w:val="32"/>
          <w:szCs w:val="32"/>
          <w:lang w:eastAsia="zh-CN"/>
        </w:rPr>
      </w:pPr>
      <w:r>
        <w:rPr>
          <w:rFonts w:hint="eastAsia" w:ascii="Times New Roman" w:hAnsi="Times New Roman" w:eastAsia="方正仿宋_GBK" w:cs="方正仿宋_GBK"/>
          <w:spacing w:val="5"/>
          <w:sz w:val="32"/>
        </w:rPr>
        <w:t>3.项目资金管理情况分析。</w:t>
      </w:r>
      <w:r>
        <w:rPr>
          <w:rFonts w:ascii="Times New Roman" w:hAnsi="Times New Roman" w:eastAsia="方正仿宋_GBK"/>
          <w:sz w:val="32"/>
          <w:szCs w:val="32"/>
        </w:rPr>
        <w:t>忠县黄金镇小河村</w:t>
      </w:r>
      <w:r>
        <w:rPr>
          <w:rFonts w:hint="eastAsia" w:ascii="Times New Roman" w:hAnsi="Times New Roman" w:eastAsia="方正仿宋_GBK"/>
          <w:sz w:val="32"/>
          <w:szCs w:val="32"/>
          <w:lang w:eastAsia="zh-CN"/>
        </w:rPr>
        <w:t>便民</w:t>
      </w:r>
      <w:r>
        <w:rPr>
          <w:rFonts w:ascii="Times New Roman" w:hAnsi="Times New Roman" w:eastAsia="方正仿宋_GBK"/>
          <w:sz w:val="32"/>
          <w:szCs w:val="32"/>
        </w:rPr>
        <w:t>服务中心项目</w:t>
      </w:r>
      <w:r>
        <w:rPr>
          <w:rFonts w:hint="eastAsia" w:ascii="Times New Roman" w:hAnsi="Times New Roman" w:eastAsia="方正仿宋_GBK"/>
          <w:sz w:val="32"/>
          <w:szCs w:val="32"/>
          <w:lang w:eastAsia="zh-CN"/>
        </w:rPr>
        <w:t>，</w:t>
      </w:r>
      <w:r>
        <w:rPr>
          <w:rFonts w:hint="eastAsia" w:ascii="Times New Roman" w:hAnsi="Times New Roman" w:eastAsia="方正仿宋_GBK" w:cs="方正仿宋_GBK"/>
          <w:spacing w:val="5"/>
          <w:sz w:val="32"/>
          <w:szCs w:val="32"/>
          <w:lang w:eastAsia="zh-CN"/>
        </w:rPr>
        <w:t>该项目到位资金</w:t>
      </w:r>
      <w:r>
        <w:rPr>
          <w:rFonts w:hint="eastAsia" w:ascii="Times New Roman" w:hAnsi="Times New Roman" w:eastAsia="方正仿宋_GBK" w:cs="方正仿宋_GBK"/>
          <w:spacing w:val="5"/>
          <w:sz w:val="32"/>
          <w:szCs w:val="32"/>
        </w:rPr>
        <w:t>230万元</w:t>
      </w:r>
      <w:r>
        <w:rPr>
          <w:rFonts w:hint="eastAsia" w:ascii="Times New Roman" w:hAnsi="Times New Roman" w:eastAsia="方正仿宋_GBK" w:cs="方正仿宋_GBK"/>
          <w:spacing w:val="5"/>
          <w:sz w:val="32"/>
          <w:szCs w:val="32"/>
          <w:lang w:eastAsia="zh-CN"/>
        </w:rPr>
        <w:t>，其中，</w:t>
      </w:r>
      <w:r>
        <w:rPr>
          <w:rFonts w:hint="eastAsia" w:ascii="Times New Roman" w:hAnsi="Times New Roman" w:eastAsia="方正仿宋_GBK" w:cs="方正仿宋_GBK"/>
          <w:spacing w:val="5"/>
          <w:sz w:val="32"/>
          <w:szCs w:val="32"/>
        </w:rPr>
        <w:t>对口帮扶资金</w:t>
      </w:r>
      <w:r>
        <w:rPr>
          <w:rFonts w:hint="eastAsia" w:ascii="Times New Roman" w:hAnsi="Times New Roman" w:eastAsia="方正仿宋_GBK" w:cs="方正仿宋_GBK"/>
          <w:spacing w:val="5"/>
          <w:sz w:val="32"/>
          <w:szCs w:val="32"/>
          <w:lang w:val="en-US" w:eastAsia="zh-CN"/>
        </w:rPr>
        <w:t>50</w:t>
      </w:r>
      <w:r>
        <w:rPr>
          <w:rFonts w:hint="eastAsia" w:ascii="Times New Roman" w:hAnsi="Times New Roman" w:eastAsia="方正仿宋_GBK" w:cs="方正仿宋_GBK"/>
          <w:spacing w:val="5"/>
          <w:sz w:val="32"/>
          <w:szCs w:val="32"/>
        </w:rPr>
        <w:t>万元</w:t>
      </w:r>
      <w:r>
        <w:rPr>
          <w:rFonts w:hint="eastAsia" w:ascii="Times New Roman" w:hAnsi="Times New Roman" w:eastAsia="方正仿宋_GBK" w:cs="方正仿宋_GBK"/>
          <w:spacing w:val="5"/>
          <w:sz w:val="32"/>
          <w:szCs w:val="32"/>
          <w:lang w:eastAsia="zh-CN"/>
        </w:rPr>
        <w:t>，</w:t>
      </w:r>
      <w:r>
        <w:rPr>
          <w:rFonts w:hint="eastAsia" w:ascii="Times New Roman" w:hAnsi="Times New Roman" w:eastAsia="方正仿宋_GBK" w:cs="方正仿宋_GBK"/>
          <w:spacing w:val="5"/>
          <w:sz w:val="32"/>
          <w:szCs w:val="32"/>
          <w:lang w:val="en-US" w:eastAsia="zh-CN"/>
        </w:rPr>
        <w:t>资金已经全部到位</w:t>
      </w:r>
      <w:r>
        <w:rPr>
          <w:rFonts w:hint="eastAsia" w:ascii="Times New Roman" w:hAnsi="Times New Roman" w:eastAsia="方正仿宋_GBK" w:cs="方正仿宋_GBK"/>
          <w:spacing w:val="5"/>
          <w:sz w:val="32"/>
          <w:szCs w:val="32"/>
          <w:lang w:eastAsia="zh-CN"/>
        </w:rPr>
        <w:t>。</w:t>
      </w:r>
      <w:r>
        <w:rPr>
          <w:rFonts w:hint="eastAsia" w:ascii="Times New Roman" w:hAnsi="Times New Roman" w:eastAsia="方正仿宋_GBK" w:cs="方正仿宋_GBK"/>
          <w:spacing w:val="5"/>
          <w:sz w:val="32"/>
          <w:szCs w:val="32"/>
          <w:lang w:val="en-US" w:eastAsia="zh-CN"/>
        </w:rPr>
        <w:t>为加强对项目资金的管理，镇财政办建立资金专项管理类别，对该项目的收支进行有效管理和处置。涉及资金支出时，按照审批制度和程序进行，确保专款专用。</w:t>
      </w:r>
    </w:p>
    <w:p>
      <w:pPr>
        <w:keepNext w:val="0"/>
        <w:keepLines w:val="0"/>
        <w:pageBreakBefore w:val="0"/>
        <w:widowControl/>
        <w:kinsoku w:val="0"/>
        <w:wordWrap/>
        <w:overflowPunct/>
        <w:topLinePunct w:val="0"/>
        <w:autoSpaceDE w:val="0"/>
        <w:autoSpaceDN w:val="0"/>
        <w:bidi w:val="0"/>
        <w:adjustRightInd w:val="0"/>
        <w:snapToGrid w:val="0"/>
        <w:spacing w:before="204" w:line="594" w:lineRule="exact"/>
        <w:ind w:firstLine="664" w:firstLineChars="200"/>
        <w:textAlignment w:val="baseline"/>
        <w:rPr>
          <w:rFonts w:hint="eastAsia" w:ascii="Times New Roman" w:hAnsi="Times New Roman" w:eastAsia="方正楷体_GBK" w:cs="方正楷体_GBK"/>
          <w:sz w:val="32"/>
          <w:szCs w:val="31"/>
        </w:rPr>
      </w:pPr>
      <w:r>
        <w:rPr>
          <w:rFonts w:hint="eastAsia" w:ascii="Times New Roman" w:hAnsi="Times New Roman" w:eastAsia="方正楷体_GBK" w:cs="方正楷体_GBK"/>
          <w:spacing w:val="6"/>
          <w:sz w:val="32"/>
          <w:szCs w:val="31"/>
        </w:rPr>
        <w:t>（二）总体绩效目标完成情况分析。</w:t>
      </w:r>
    </w:p>
    <w:p>
      <w:pPr>
        <w:pStyle w:val="2"/>
        <w:keepNext w:val="0"/>
        <w:keepLines w:val="0"/>
        <w:pageBreakBefore w:val="0"/>
        <w:widowControl/>
        <w:kinsoku w:val="0"/>
        <w:wordWrap/>
        <w:overflowPunct/>
        <w:topLinePunct w:val="0"/>
        <w:autoSpaceDE w:val="0"/>
        <w:autoSpaceDN w:val="0"/>
        <w:bidi w:val="0"/>
        <w:adjustRightInd w:val="0"/>
        <w:snapToGrid w:val="0"/>
        <w:spacing w:line="594" w:lineRule="exact"/>
        <w:ind w:firstLine="664" w:firstLineChars="200"/>
        <w:textAlignment w:val="baseline"/>
        <w:rPr>
          <w:rFonts w:hint="eastAsia" w:ascii="Times New Roman" w:hAnsi="Times New Roman" w:eastAsia="方正楷体_GBK" w:cs="方正楷体_GBK"/>
          <w:spacing w:val="6"/>
          <w:sz w:val="32"/>
        </w:rPr>
      </w:pPr>
      <w:r>
        <w:rPr>
          <w:rFonts w:hint="eastAsia" w:ascii="Times New Roman" w:hAnsi="Times New Roman" w:eastAsia="方正楷体_GBK" w:cs="方正楷体_GBK"/>
          <w:spacing w:val="6"/>
          <w:sz w:val="32"/>
        </w:rPr>
        <w:t>（三）绩效目标完成情况分析。 （根据年初绩效目标及指标逐项分析）</w:t>
      </w:r>
    </w:p>
    <w:p>
      <w:pPr>
        <w:pStyle w:val="2"/>
        <w:keepNext w:val="0"/>
        <w:keepLines w:val="0"/>
        <w:pageBreakBefore w:val="0"/>
        <w:widowControl/>
        <w:kinsoku w:val="0"/>
        <w:wordWrap/>
        <w:overflowPunct/>
        <w:topLinePunct w:val="0"/>
        <w:autoSpaceDE w:val="0"/>
        <w:autoSpaceDN w:val="0"/>
        <w:bidi w:val="0"/>
        <w:adjustRightInd w:val="0"/>
        <w:snapToGrid w:val="0"/>
        <w:spacing w:before="204" w:line="594" w:lineRule="exact"/>
        <w:ind w:firstLine="660" w:firstLineChars="200"/>
        <w:textAlignment w:val="baseline"/>
        <w:rPr>
          <w:rFonts w:hint="eastAsia" w:ascii="Times New Roman" w:hAnsi="Times New Roman" w:eastAsia="方正仿宋_GBK" w:cs="方正仿宋_GBK"/>
          <w:spacing w:val="5"/>
          <w:sz w:val="32"/>
        </w:rPr>
      </w:pPr>
      <w:r>
        <w:rPr>
          <w:rFonts w:hint="eastAsia" w:ascii="Times New Roman" w:hAnsi="Times New Roman" w:eastAsia="方正仿宋_GBK" w:cs="方正仿宋_GBK"/>
          <w:spacing w:val="5"/>
          <w:sz w:val="32"/>
        </w:rPr>
        <w:t>1.成本指标完成情况分析。</w:t>
      </w:r>
    </w:p>
    <w:p>
      <w:pPr>
        <w:pStyle w:val="2"/>
        <w:keepNext w:val="0"/>
        <w:keepLines w:val="0"/>
        <w:pageBreakBefore w:val="0"/>
        <w:widowControl/>
        <w:kinsoku w:val="0"/>
        <w:wordWrap/>
        <w:overflowPunct/>
        <w:topLinePunct w:val="0"/>
        <w:autoSpaceDE w:val="0"/>
        <w:autoSpaceDN w:val="0"/>
        <w:bidi w:val="0"/>
        <w:adjustRightInd w:val="0"/>
        <w:snapToGrid w:val="0"/>
        <w:spacing w:before="204" w:line="594" w:lineRule="exact"/>
        <w:ind w:firstLine="656" w:firstLineChars="200"/>
        <w:textAlignment w:val="baseline"/>
        <w:rPr>
          <w:rFonts w:hint="eastAsia" w:ascii="Times New Roman" w:hAnsi="Times New Roman" w:eastAsia="方正仿宋_GBK" w:cs="方正仿宋_GBK"/>
          <w:spacing w:val="4"/>
          <w:position w:val="20"/>
          <w:sz w:val="32"/>
          <w:lang w:eastAsia="zh-CN"/>
        </w:rPr>
      </w:pPr>
      <w:r>
        <w:rPr>
          <w:rFonts w:hint="eastAsia" w:ascii="Times New Roman" w:hAnsi="Times New Roman" w:eastAsia="方正仿宋_GBK" w:cs="方正仿宋_GBK"/>
          <w:spacing w:val="4"/>
          <w:position w:val="20"/>
          <w:sz w:val="32"/>
        </w:rPr>
        <w:t>（1）经济成本指标。实际完成投资控制在概算内的项目比例</w:t>
      </w:r>
      <w:r>
        <w:rPr>
          <w:rFonts w:hint="eastAsia" w:ascii="Times New Roman" w:hAnsi="Times New Roman" w:eastAsia="方正仿宋_GBK" w:cs="方正仿宋_GBK"/>
          <w:spacing w:val="4"/>
          <w:position w:val="20"/>
          <w:sz w:val="32"/>
          <w:lang w:eastAsia="zh-CN"/>
        </w:rPr>
        <w:t>为100%；项目调整概算程序完备率为100%。</w:t>
      </w:r>
    </w:p>
    <w:p>
      <w:pPr>
        <w:pStyle w:val="2"/>
        <w:keepNext w:val="0"/>
        <w:keepLines w:val="0"/>
        <w:pageBreakBefore w:val="0"/>
        <w:widowControl/>
        <w:kinsoku w:val="0"/>
        <w:wordWrap/>
        <w:overflowPunct/>
        <w:topLinePunct w:val="0"/>
        <w:autoSpaceDE w:val="0"/>
        <w:autoSpaceDN w:val="0"/>
        <w:bidi w:val="0"/>
        <w:adjustRightInd w:val="0"/>
        <w:snapToGrid w:val="0"/>
        <w:spacing w:before="204" w:line="594" w:lineRule="exact"/>
        <w:ind w:firstLine="656" w:firstLineChars="200"/>
        <w:textAlignment w:val="baseline"/>
        <w:rPr>
          <w:rFonts w:hint="eastAsia" w:ascii="Times New Roman" w:hAnsi="Times New Roman" w:eastAsia="方正仿宋_GBK" w:cs="方正仿宋_GBK"/>
          <w:spacing w:val="4"/>
          <w:position w:val="20"/>
          <w:sz w:val="32"/>
        </w:rPr>
      </w:pPr>
      <w:r>
        <w:rPr>
          <w:rFonts w:hint="eastAsia" w:ascii="Times New Roman" w:hAnsi="Times New Roman" w:eastAsia="方正仿宋_GBK" w:cs="方正仿宋_GBK"/>
          <w:spacing w:val="4"/>
          <w:position w:val="20"/>
          <w:sz w:val="32"/>
        </w:rPr>
        <w:t>（2）社会成本指标。</w:t>
      </w:r>
    </w:p>
    <w:p>
      <w:pPr>
        <w:pStyle w:val="2"/>
        <w:keepNext w:val="0"/>
        <w:keepLines w:val="0"/>
        <w:pageBreakBefore w:val="0"/>
        <w:widowControl/>
        <w:kinsoku w:val="0"/>
        <w:wordWrap/>
        <w:overflowPunct/>
        <w:topLinePunct w:val="0"/>
        <w:autoSpaceDE w:val="0"/>
        <w:autoSpaceDN w:val="0"/>
        <w:bidi w:val="0"/>
        <w:adjustRightInd w:val="0"/>
        <w:snapToGrid w:val="0"/>
        <w:spacing w:before="203" w:line="594" w:lineRule="exact"/>
        <w:ind w:firstLine="652" w:firstLineChars="200"/>
        <w:textAlignment w:val="baseline"/>
        <w:rPr>
          <w:rFonts w:hint="eastAsia" w:ascii="Times New Roman" w:hAnsi="Times New Roman" w:eastAsia="方正仿宋_GBK" w:cs="方正仿宋_GBK"/>
          <w:sz w:val="32"/>
        </w:rPr>
      </w:pPr>
      <w:r>
        <w:rPr>
          <w:rFonts w:hint="eastAsia" w:ascii="Times New Roman" w:hAnsi="Times New Roman" w:eastAsia="方正仿宋_GBK" w:cs="方正仿宋_GBK"/>
          <w:spacing w:val="3"/>
          <w:position w:val="19"/>
          <w:sz w:val="32"/>
        </w:rPr>
        <w:t>（3）生态环境成本指标。</w:t>
      </w:r>
    </w:p>
    <w:p>
      <w:pPr>
        <w:pStyle w:val="2"/>
        <w:keepNext w:val="0"/>
        <w:keepLines w:val="0"/>
        <w:pageBreakBefore w:val="0"/>
        <w:widowControl/>
        <w:kinsoku w:val="0"/>
        <w:wordWrap/>
        <w:overflowPunct/>
        <w:topLinePunct w:val="0"/>
        <w:autoSpaceDE w:val="0"/>
        <w:autoSpaceDN w:val="0"/>
        <w:bidi w:val="0"/>
        <w:adjustRightInd w:val="0"/>
        <w:snapToGrid w:val="0"/>
        <w:spacing w:before="1" w:line="594" w:lineRule="exact"/>
        <w:ind w:firstLine="664" w:firstLineChars="200"/>
        <w:textAlignment w:val="baseline"/>
        <w:rPr>
          <w:rFonts w:hint="eastAsia" w:ascii="Times New Roman" w:hAnsi="Times New Roman" w:eastAsia="方正仿宋_GBK" w:cs="方正仿宋_GBK"/>
          <w:sz w:val="32"/>
        </w:rPr>
      </w:pPr>
      <w:r>
        <w:rPr>
          <w:rFonts w:hint="eastAsia" w:ascii="Times New Roman" w:hAnsi="Times New Roman" w:eastAsia="方正仿宋_GBK" w:cs="方正仿宋_GBK"/>
          <w:spacing w:val="6"/>
          <w:sz w:val="32"/>
        </w:rPr>
        <w:t>2.产出指标完成情况分析。</w:t>
      </w:r>
    </w:p>
    <w:p>
      <w:pPr>
        <w:pStyle w:val="2"/>
        <w:keepNext w:val="0"/>
        <w:keepLines w:val="0"/>
        <w:pageBreakBefore w:val="0"/>
        <w:widowControl/>
        <w:kinsoku w:val="0"/>
        <w:wordWrap/>
        <w:overflowPunct/>
        <w:topLinePunct w:val="0"/>
        <w:autoSpaceDE w:val="0"/>
        <w:autoSpaceDN w:val="0"/>
        <w:bidi w:val="0"/>
        <w:adjustRightInd w:val="0"/>
        <w:snapToGrid w:val="0"/>
        <w:spacing w:before="101" w:line="594" w:lineRule="exact"/>
        <w:ind w:firstLine="644" w:firstLineChars="200"/>
        <w:textAlignment w:val="baseline"/>
        <w:rPr>
          <w:rFonts w:hint="eastAsia" w:ascii="Times New Roman" w:hAnsi="Times New Roman" w:eastAsia="方正仿宋_GBK" w:cs="方正仿宋_GBK"/>
          <w:spacing w:val="1"/>
          <w:sz w:val="32"/>
          <w:lang w:eastAsia="zh-CN"/>
        </w:rPr>
      </w:pPr>
      <w:r>
        <w:rPr>
          <w:rFonts w:hint="eastAsia" w:ascii="Times New Roman" w:hAnsi="Times New Roman" w:eastAsia="方正仿宋_GBK" w:cs="方正仿宋_GBK"/>
          <w:spacing w:val="1"/>
          <w:sz w:val="32"/>
        </w:rPr>
        <w:t>（1）数量指标。新建占地面积300平方米、建筑面积600平方米便民服务中心及配套设施完善</w:t>
      </w:r>
      <w:r>
        <w:rPr>
          <w:rFonts w:hint="eastAsia" w:ascii="Times New Roman" w:hAnsi="Times New Roman" w:eastAsia="方正仿宋_GBK" w:cs="方正仿宋_GBK"/>
          <w:spacing w:val="1"/>
          <w:sz w:val="32"/>
          <w:lang w:eastAsia="zh-CN"/>
        </w:rPr>
        <w:t>。</w:t>
      </w:r>
    </w:p>
    <w:p>
      <w:pPr>
        <w:pStyle w:val="2"/>
        <w:keepNext w:val="0"/>
        <w:keepLines w:val="0"/>
        <w:pageBreakBefore w:val="0"/>
        <w:widowControl/>
        <w:kinsoku w:val="0"/>
        <w:wordWrap/>
        <w:overflowPunct/>
        <w:topLinePunct w:val="0"/>
        <w:autoSpaceDE w:val="0"/>
        <w:autoSpaceDN w:val="0"/>
        <w:bidi w:val="0"/>
        <w:adjustRightInd w:val="0"/>
        <w:snapToGrid w:val="0"/>
        <w:spacing w:before="101" w:line="594" w:lineRule="exact"/>
        <w:ind w:firstLine="644" w:firstLineChars="200"/>
        <w:jc w:val="left"/>
        <w:textAlignment w:val="baseline"/>
        <w:rPr>
          <w:rFonts w:hint="eastAsia" w:ascii="Times New Roman" w:hAnsi="Times New Roman" w:eastAsia="方正仿宋_GBK" w:cs="方正仿宋_GBK"/>
          <w:sz w:val="32"/>
        </w:rPr>
      </w:pPr>
      <w:r>
        <w:rPr>
          <w:rFonts w:hint="eastAsia" w:ascii="Times New Roman" w:hAnsi="Times New Roman" w:eastAsia="方正仿宋_GBK" w:cs="方正仿宋_GBK"/>
          <w:spacing w:val="1"/>
          <w:sz w:val="32"/>
        </w:rPr>
        <w:t>（2）质量指标。工程质量合格率</w:t>
      </w:r>
      <w:r>
        <w:rPr>
          <w:rFonts w:hint="eastAsia" w:ascii="Times New Roman" w:hAnsi="Times New Roman" w:eastAsia="方正仿宋_GBK" w:cs="方正仿宋_GBK"/>
          <w:spacing w:val="1"/>
          <w:sz w:val="32"/>
          <w:lang w:eastAsia="zh-CN"/>
        </w:rPr>
        <w:t>为100%；项目验收通过率为100%。</w:t>
      </w:r>
    </w:p>
    <w:p>
      <w:pPr>
        <w:pStyle w:val="2"/>
        <w:keepNext w:val="0"/>
        <w:keepLines w:val="0"/>
        <w:pageBreakBefore w:val="0"/>
        <w:widowControl/>
        <w:kinsoku w:val="0"/>
        <w:wordWrap/>
        <w:overflowPunct/>
        <w:topLinePunct w:val="0"/>
        <w:autoSpaceDE w:val="0"/>
        <w:autoSpaceDN w:val="0"/>
        <w:bidi w:val="0"/>
        <w:adjustRightInd w:val="0"/>
        <w:snapToGrid w:val="0"/>
        <w:spacing w:before="202" w:line="594" w:lineRule="exact"/>
        <w:ind w:firstLine="644" w:firstLineChars="200"/>
        <w:textAlignment w:val="baseline"/>
        <w:rPr>
          <w:rFonts w:hint="eastAsia" w:ascii="Times New Roman" w:hAnsi="Times New Roman" w:eastAsia="方正仿宋_GBK" w:cs="方正仿宋_GBK"/>
          <w:sz w:val="32"/>
        </w:rPr>
      </w:pPr>
      <w:r>
        <w:rPr>
          <w:rFonts w:hint="eastAsia" w:ascii="Times New Roman" w:hAnsi="Times New Roman" w:eastAsia="方正仿宋_GBK" w:cs="方正仿宋_GBK"/>
          <w:spacing w:val="1"/>
          <w:sz w:val="32"/>
        </w:rPr>
        <w:t>（3）时效指标。项目按时开工率</w:t>
      </w:r>
      <w:r>
        <w:rPr>
          <w:rFonts w:hint="eastAsia" w:ascii="Times New Roman" w:hAnsi="Times New Roman" w:eastAsia="方正仿宋_GBK" w:cs="方正仿宋_GBK"/>
          <w:spacing w:val="1"/>
          <w:sz w:val="32"/>
          <w:lang w:eastAsia="zh-CN"/>
        </w:rPr>
        <w:t>为100%；项目按时验收率为100%；年度预算执行率为100%。</w:t>
      </w:r>
    </w:p>
    <w:p>
      <w:pPr>
        <w:pStyle w:val="2"/>
        <w:keepNext w:val="0"/>
        <w:keepLines w:val="0"/>
        <w:pageBreakBefore w:val="0"/>
        <w:widowControl/>
        <w:kinsoku w:val="0"/>
        <w:wordWrap/>
        <w:overflowPunct/>
        <w:topLinePunct w:val="0"/>
        <w:autoSpaceDE w:val="0"/>
        <w:autoSpaceDN w:val="0"/>
        <w:bidi w:val="0"/>
        <w:adjustRightInd w:val="0"/>
        <w:snapToGrid w:val="0"/>
        <w:spacing w:before="205" w:line="594" w:lineRule="exact"/>
        <w:ind w:firstLine="660" w:firstLineChars="200"/>
        <w:textAlignment w:val="baseline"/>
        <w:rPr>
          <w:rFonts w:hint="eastAsia" w:ascii="Times New Roman" w:hAnsi="Times New Roman" w:eastAsia="方正仿宋_GBK" w:cs="方正仿宋_GBK"/>
          <w:sz w:val="32"/>
        </w:rPr>
      </w:pPr>
      <w:r>
        <w:rPr>
          <w:rFonts w:hint="eastAsia" w:ascii="Times New Roman" w:hAnsi="Times New Roman" w:eastAsia="方正仿宋_GBK" w:cs="方正仿宋_GBK"/>
          <w:spacing w:val="5"/>
          <w:sz w:val="32"/>
        </w:rPr>
        <w:t>3.效益指标完成情况分析。</w:t>
      </w:r>
    </w:p>
    <w:p>
      <w:pPr>
        <w:pStyle w:val="2"/>
        <w:keepNext w:val="0"/>
        <w:keepLines w:val="0"/>
        <w:pageBreakBefore w:val="0"/>
        <w:widowControl/>
        <w:kinsoku w:val="0"/>
        <w:wordWrap/>
        <w:overflowPunct/>
        <w:topLinePunct w:val="0"/>
        <w:autoSpaceDE w:val="0"/>
        <w:autoSpaceDN w:val="0"/>
        <w:bidi w:val="0"/>
        <w:adjustRightInd w:val="0"/>
        <w:snapToGrid w:val="0"/>
        <w:spacing w:before="206" w:line="594" w:lineRule="exact"/>
        <w:ind w:firstLine="644" w:firstLineChars="200"/>
        <w:textAlignment w:val="baseline"/>
        <w:rPr>
          <w:rFonts w:hint="eastAsia" w:ascii="Times New Roman" w:hAnsi="Times New Roman" w:eastAsia="方正仿宋_GBK" w:cs="方正仿宋_GBK"/>
          <w:sz w:val="32"/>
          <w:lang w:val="en-US" w:eastAsia="zh-CN"/>
        </w:rPr>
      </w:pPr>
      <w:r>
        <w:rPr>
          <w:rFonts w:hint="eastAsia" w:ascii="Times New Roman" w:hAnsi="Times New Roman" w:eastAsia="方正仿宋_GBK" w:cs="方正仿宋_GBK"/>
          <w:spacing w:val="1"/>
          <w:sz w:val="32"/>
        </w:rPr>
        <w:t>（1）经济效益。村集体经济年增收</w:t>
      </w:r>
      <w:r>
        <w:rPr>
          <w:rFonts w:hint="eastAsia" w:ascii="Times New Roman" w:hAnsi="Times New Roman" w:eastAsia="方正仿宋_GBK" w:cs="方正仿宋_GBK"/>
          <w:spacing w:val="1"/>
          <w:sz w:val="32"/>
          <w:lang w:val="en-US" w:eastAsia="zh-CN"/>
        </w:rPr>
        <w:t>1万元。</w:t>
      </w:r>
    </w:p>
    <w:p>
      <w:pPr>
        <w:pStyle w:val="2"/>
        <w:keepNext w:val="0"/>
        <w:keepLines w:val="0"/>
        <w:pageBreakBefore w:val="0"/>
        <w:widowControl/>
        <w:kinsoku w:val="0"/>
        <w:wordWrap/>
        <w:overflowPunct/>
        <w:topLinePunct w:val="0"/>
        <w:autoSpaceDE w:val="0"/>
        <w:autoSpaceDN w:val="0"/>
        <w:bidi w:val="0"/>
        <w:adjustRightInd w:val="0"/>
        <w:snapToGrid w:val="0"/>
        <w:spacing w:before="205" w:line="594" w:lineRule="exact"/>
        <w:ind w:firstLine="644" w:firstLineChars="200"/>
        <w:textAlignment w:val="baseline"/>
        <w:rPr>
          <w:rFonts w:hint="eastAsia" w:ascii="Times New Roman" w:hAnsi="Times New Roman" w:eastAsia="方正仿宋_GBK" w:cs="方正仿宋_GBK"/>
          <w:sz w:val="32"/>
          <w:lang w:eastAsia="zh-CN"/>
        </w:rPr>
      </w:pPr>
      <w:r>
        <w:rPr>
          <w:rFonts w:hint="eastAsia" w:ascii="Times New Roman" w:hAnsi="Times New Roman" w:eastAsia="方正仿宋_GBK" w:cs="方正仿宋_GBK"/>
          <w:spacing w:val="1"/>
          <w:sz w:val="32"/>
        </w:rPr>
        <w:t>（2）社会效益。受益群众788户</w:t>
      </w:r>
      <w:r>
        <w:rPr>
          <w:rFonts w:hint="eastAsia" w:ascii="Times New Roman" w:hAnsi="Times New Roman" w:eastAsia="方正仿宋_GBK" w:cs="方正仿宋_GBK"/>
          <w:spacing w:val="1"/>
          <w:sz w:val="32"/>
          <w:lang w:eastAsia="zh-CN"/>
        </w:rPr>
        <w:t>。</w:t>
      </w:r>
    </w:p>
    <w:p>
      <w:pPr>
        <w:pStyle w:val="2"/>
        <w:keepNext w:val="0"/>
        <w:keepLines w:val="0"/>
        <w:pageBreakBefore w:val="0"/>
        <w:widowControl/>
        <w:kinsoku w:val="0"/>
        <w:wordWrap/>
        <w:overflowPunct/>
        <w:topLinePunct w:val="0"/>
        <w:autoSpaceDE w:val="0"/>
        <w:autoSpaceDN w:val="0"/>
        <w:bidi w:val="0"/>
        <w:adjustRightInd w:val="0"/>
        <w:snapToGrid w:val="0"/>
        <w:spacing w:before="206" w:line="594" w:lineRule="exact"/>
        <w:ind w:firstLine="644" w:firstLineChars="200"/>
        <w:textAlignment w:val="baseline"/>
        <w:rPr>
          <w:rFonts w:hint="eastAsia" w:ascii="Times New Roman" w:hAnsi="Times New Roman" w:eastAsia="方正仿宋_GBK" w:cs="方正仿宋_GBK"/>
          <w:sz w:val="32"/>
        </w:rPr>
      </w:pPr>
      <w:r>
        <w:rPr>
          <w:rFonts w:hint="eastAsia" w:ascii="Times New Roman" w:hAnsi="Times New Roman" w:eastAsia="方正仿宋_GBK" w:cs="方正仿宋_GBK"/>
          <w:spacing w:val="1"/>
          <w:sz w:val="32"/>
        </w:rPr>
        <w:t>（3）生态效益。农村环境改善率</w:t>
      </w:r>
      <w:r>
        <w:rPr>
          <w:rFonts w:hint="eastAsia" w:ascii="Times New Roman" w:hAnsi="Times New Roman" w:eastAsia="方正仿宋_GBK" w:cs="方正仿宋_GBK"/>
          <w:spacing w:val="1"/>
          <w:sz w:val="32"/>
          <w:lang w:eastAsia="zh-CN"/>
        </w:rPr>
        <w:t>为100%。</w:t>
      </w:r>
    </w:p>
    <w:p>
      <w:pPr>
        <w:pStyle w:val="2"/>
        <w:keepNext w:val="0"/>
        <w:keepLines w:val="0"/>
        <w:pageBreakBefore w:val="0"/>
        <w:widowControl/>
        <w:kinsoku w:val="0"/>
        <w:wordWrap/>
        <w:overflowPunct/>
        <w:topLinePunct w:val="0"/>
        <w:autoSpaceDE w:val="0"/>
        <w:autoSpaceDN w:val="0"/>
        <w:bidi w:val="0"/>
        <w:adjustRightInd w:val="0"/>
        <w:snapToGrid w:val="0"/>
        <w:spacing w:before="203" w:line="594" w:lineRule="exact"/>
        <w:ind w:firstLine="668" w:firstLineChars="200"/>
        <w:textAlignment w:val="baseline"/>
        <w:rPr>
          <w:rFonts w:hint="default" w:ascii="Times New Roman" w:hAnsi="Times New Roman" w:eastAsia="方正仿宋_GBK" w:cs="方正仿宋_GBK"/>
          <w:sz w:val="32"/>
          <w:lang w:val="en-US" w:eastAsia="zh-CN"/>
        </w:rPr>
      </w:pPr>
      <w:r>
        <w:rPr>
          <w:rFonts w:hint="eastAsia" w:ascii="Times New Roman" w:hAnsi="Times New Roman" w:eastAsia="方正仿宋_GBK" w:cs="方正仿宋_GBK"/>
          <w:spacing w:val="7"/>
          <w:sz w:val="32"/>
        </w:rPr>
        <w:t>（4）可持续影响。项目建成后使用年限</w:t>
      </w:r>
      <w:r>
        <w:rPr>
          <w:rFonts w:hint="eastAsia" w:ascii="Times New Roman" w:hAnsi="Times New Roman" w:eastAsia="方正仿宋_GBK" w:cs="方正仿宋_GBK"/>
          <w:spacing w:val="7"/>
          <w:sz w:val="32"/>
          <w:lang w:val="en-US" w:eastAsia="zh-CN"/>
        </w:rPr>
        <w:t>30年，</w:t>
      </w:r>
      <w:r>
        <w:rPr>
          <w:rFonts w:hint="eastAsia" w:ascii="Times New Roman" w:hAnsi="Times New Roman" w:eastAsia="方正仿宋_GBK" w:cs="方正仿宋_GBK"/>
          <w:spacing w:val="7"/>
          <w:sz w:val="32"/>
        </w:rPr>
        <w:t>项目完成后正常运行比例</w:t>
      </w:r>
      <w:r>
        <w:rPr>
          <w:rFonts w:hint="eastAsia" w:ascii="Times New Roman" w:hAnsi="Times New Roman" w:eastAsia="方正仿宋_GBK" w:cs="方正仿宋_GBK"/>
          <w:spacing w:val="1"/>
          <w:sz w:val="32"/>
          <w:lang w:eastAsia="zh-CN"/>
        </w:rPr>
        <w:t>为100%</w:t>
      </w:r>
      <w:r>
        <w:rPr>
          <w:rFonts w:hint="eastAsia" w:ascii="Times New Roman" w:hAnsi="Times New Roman" w:eastAsia="方正仿宋_GBK" w:cs="方正仿宋_GBK"/>
          <w:spacing w:val="7"/>
          <w:sz w:val="32"/>
          <w:lang w:val="en-US" w:eastAsia="zh-CN"/>
        </w:rPr>
        <w:t>。</w:t>
      </w:r>
    </w:p>
    <w:p>
      <w:pPr>
        <w:pStyle w:val="2"/>
        <w:keepNext w:val="0"/>
        <w:keepLines w:val="0"/>
        <w:pageBreakBefore w:val="0"/>
        <w:widowControl/>
        <w:kinsoku w:val="0"/>
        <w:wordWrap/>
        <w:overflowPunct/>
        <w:topLinePunct w:val="0"/>
        <w:autoSpaceDE w:val="0"/>
        <w:autoSpaceDN w:val="0"/>
        <w:bidi w:val="0"/>
        <w:adjustRightInd w:val="0"/>
        <w:snapToGrid w:val="0"/>
        <w:spacing w:before="203" w:line="594" w:lineRule="exact"/>
        <w:ind w:firstLine="656" w:firstLineChars="200"/>
        <w:textAlignment w:val="baseline"/>
        <w:rPr>
          <w:rFonts w:hint="eastAsia" w:ascii="Times New Roman" w:hAnsi="Times New Roman" w:eastAsia="方正仿宋_GBK" w:cs="方正仿宋_GBK"/>
          <w:sz w:val="32"/>
        </w:rPr>
      </w:pPr>
      <w:r>
        <w:rPr>
          <w:rFonts w:hint="eastAsia" w:ascii="Times New Roman" w:hAnsi="Times New Roman" w:eastAsia="方正仿宋_GBK" w:cs="方正仿宋_GBK"/>
          <w:spacing w:val="4"/>
          <w:sz w:val="32"/>
        </w:rPr>
        <w:t>4.满意度指标完成情况分析。受益人口满意度</w:t>
      </w:r>
      <w:r>
        <w:rPr>
          <w:rFonts w:hint="eastAsia" w:ascii="Times New Roman" w:hAnsi="Times New Roman" w:eastAsia="方正仿宋_GBK" w:cs="方正仿宋_GBK"/>
          <w:spacing w:val="1"/>
          <w:sz w:val="32"/>
          <w:lang w:val="en-US" w:eastAsia="zh-CN"/>
        </w:rPr>
        <w:t>98</w:t>
      </w:r>
      <w:r>
        <w:rPr>
          <w:rFonts w:hint="eastAsia" w:ascii="Times New Roman" w:hAnsi="Times New Roman" w:eastAsia="方正仿宋_GBK" w:cs="方正仿宋_GBK"/>
          <w:spacing w:val="1"/>
          <w:sz w:val="32"/>
          <w:lang w:eastAsia="zh-CN"/>
        </w:rPr>
        <w:t>%以上。</w:t>
      </w:r>
    </w:p>
    <w:p>
      <w:pPr>
        <w:keepNext w:val="0"/>
        <w:keepLines w:val="0"/>
        <w:pageBreakBefore w:val="0"/>
        <w:widowControl/>
        <w:kinsoku w:val="0"/>
        <w:wordWrap/>
        <w:overflowPunct/>
        <w:topLinePunct w:val="0"/>
        <w:autoSpaceDE w:val="0"/>
        <w:autoSpaceDN w:val="0"/>
        <w:bidi w:val="0"/>
        <w:adjustRightInd w:val="0"/>
        <w:snapToGrid w:val="0"/>
        <w:spacing w:before="206" w:line="594" w:lineRule="exact"/>
        <w:ind w:firstLine="672" w:firstLineChars="200"/>
        <w:textAlignment w:val="baseline"/>
        <w:rPr>
          <w:rFonts w:hint="eastAsia" w:ascii="Times New Roman" w:hAnsi="Times New Roman" w:eastAsia="方正仿宋_GBK" w:cs="方正仿宋_GBK"/>
          <w:sz w:val="32"/>
          <w:szCs w:val="31"/>
        </w:rPr>
      </w:pPr>
      <w:r>
        <w:rPr>
          <w:rFonts w:hint="eastAsia" w:ascii="Times New Roman" w:hAnsi="Times New Roman" w:eastAsia="方正黑体_GBK" w:cs="方正黑体_GBK"/>
          <w:spacing w:val="8"/>
          <w:sz w:val="32"/>
          <w:szCs w:val="31"/>
        </w:rPr>
        <w:t>三、偏离绩效目标的原因和下一步改进措施</w:t>
      </w:r>
    </w:p>
    <w:p>
      <w:pPr>
        <w:pStyle w:val="2"/>
        <w:keepNext w:val="0"/>
        <w:keepLines w:val="0"/>
        <w:pageBreakBefore w:val="0"/>
        <w:widowControl/>
        <w:kinsoku w:val="0"/>
        <w:wordWrap/>
        <w:overflowPunct/>
        <w:topLinePunct w:val="0"/>
        <w:autoSpaceDE w:val="0"/>
        <w:autoSpaceDN w:val="0"/>
        <w:bidi w:val="0"/>
        <w:adjustRightInd w:val="0"/>
        <w:snapToGrid w:val="0"/>
        <w:spacing w:before="1" w:line="594" w:lineRule="exact"/>
        <w:ind w:firstLine="656" w:firstLineChars="200"/>
        <w:textAlignment w:val="baseline"/>
        <w:rPr>
          <w:rFonts w:hint="eastAsia" w:ascii="Times New Roman" w:hAnsi="Times New Roman" w:eastAsia="方正仿宋_GBK" w:cs="方正仿宋_GBK"/>
          <w:spacing w:val="4"/>
          <w:sz w:val="32"/>
        </w:rPr>
      </w:pPr>
      <w:r>
        <w:rPr>
          <w:rFonts w:hint="eastAsia" w:ascii="Times New Roman" w:hAnsi="Times New Roman" w:eastAsia="方正仿宋_GBK" w:cs="方正仿宋_GBK"/>
          <w:spacing w:val="4"/>
          <w:sz w:val="32"/>
          <w:lang w:val="en-US" w:eastAsia="zh-CN"/>
        </w:rPr>
        <w:t>经过自查，无偏离绩效目标，在后续的项目管理中完善绩效目标，更加结合实际。</w:t>
      </w:r>
    </w:p>
    <w:p>
      <w:pPr>
        <w:pStyle w:val="2"/>
        <w:keepNext w:val="0"/>
        <w:keepLines w:val="0"/>
        <w:pageBreakBefore w:val="0"/>
        <w:widowControl/>
        <w:numPr>
          <w:ilvl w:val="0"/>
          <w:numId w:val="3"/>
        </w:numPr>
        <w:kinsoku w:val="0"/>
        <w:wordWrap/>
        <w:overflowPunct/>
        <w:topLinePunct w:val="0"/>
        <w:autoSpaceDE w:val="0"/>
        <w:autoSpaceDN w:val="0"/>
        <w:bidi w:val="0"/>
        <w:adjustRightInd w:val="0"/>
        <w:snapToGrid w:val="0"/>
        <w:spacing w:before="1" w:line="594" w:lineRule="exact"/>
        <w:ind w:firstLine="668" w:firstLineChars="200"/>
        <w:textAlignment w:val="baseline"/>
        <w:rPr>
          <w:rFonts w:hint="eastAsia" w:ascii="Times New Roman" w:hAnsi="Times New Roman" w:eastAsia="方正黑体_GBK" w:cs="方正黑体_GBK"/>
          <w:spacing w:val="7"/>
          <w:sz w:val="32"/>
          <w:szCs w:val="31"/>
        </w:rPr>
      </w:pPr>
      <w:r>
        <w:rPr>
          <w:rFonts w:hint="eastAsia" w:ascii="Times New Roman" w:hAnsi="Times New Roman" w:eastAsia="方正黑体_GBK" w:cs="方正黑体_GBK"/>
          <w:spacing w:val="7"/>
          <w:sz w:val="32"/>
          <w:szCs w:val="31"/>
        </w:rPr>
        <w:t>绩效自评结果拟应用和公开情况</w:t>
      </w:r>
    </w:p>
    <w:p>
      <w:pPr>
        <w:pStyle w:val="7"/>
        <w:shd w:val="clear" w:color="auto" w:fill="FFFFFF"/>
        <w:rPr>
          <w:rStyle w:val="11"/>
          <w:rFonts w:ascii="方正仿宋_GBK" w:hAnsi="方正仿宋_GBK" w:eastAsia="方正仿宋_GBK" w:cs="方正仿宋_GBK"/>
          <w:sz w:val="32"/>
          <w:szCs w:val="32"/>
          <w:shd w:val="clear" w:color="auto" w:fill="FFFFFF"/>
        </w:rPr>
      </w:pPr>
      <w:r>
        <w:rPr>
          <w:rFonts w:hint="eastAsia" w:ascii="Times New Roman" w:hAnsi="Times New Roman" w:eastAsia="方正仿宋_GBK" w:cs="方正仿宋_GBK"/>
          <w:spacing w:val="7"/>
          <w:sz w:val="32"/>
          <w:lang w:val="en-US" w:eastAsia="zh-CN"/>
        </w:rPr>
        <w:t>通过绩效自评，无问题反应。明年将在后续开展项目前更加切合实际发挥绩效，结合实小河村实际的发展进行申报实施项目，自评结果已在镇政务栏以及绍溪村公开。</w:t>
      </w:r>
    </w:p>
    <w:p>
      <w:pPr>
        <w:pStyle w:val="7"/>
        <w:shd w:val="clear" w:color="auto" w:fill="FFFFFF"/>
        <w:rPr>
          <w:rStyle w:val="11"/>
          <w:rFonts w:hint="default" w:ascii="方正仿宋_GBK" w:hAnsi="方正仿宋_GBK" w:eastAsia="方正仿宋_GBK" w:cs="方正仿宋_GBK"/>
          <w:sz w:val="32"/>
          <w:szCs w:val="32"/>
          <w:shd w:val="clear" w:color="auto" w:fill="FFFFFF"/>
        </w:rPr>
      </w:pPr>
      <w:r>
        <w:rPr>
          <w:rStyle w:val="11"/>
          <w:rFonts w:ascii="方正仿宋_GBK" w:hAnsi="方正仿宋_GBK" w:eastAsia="方正仿宋_GBK" w:cs="方正仿宋_GBK"/>
          <w:sz w:val="32"/>
          <w:szCs w:val="32"/>
          <w:shd w:val="clear" w:color="auto" w:fill="FFFFFF"/>
        </w:rPr>
        <w:t xml:space="preserve"> </w:t>
      </w:r>
      <w:r>
        <w:rPr>
          <w:rStyle w:val="11"/>
          <w:rFonts w:ascii="黑体" w:hAnsi="黑体" w:eastAsia="黑体" w:cs="黑体"/>
          <w:sz w:val="32"/>
          <w:szCs w:val="32"/>
          <w:shd w:val="clear" w:color="auto" w:fill="FFFFFF"/>
        </w:rPr>
        <w:t>六、专业名词解释</w:t>
      </w:r>
    </w:p>
    <w:p>
      <w:pPr>
        <w:pStyle w:val="7"/>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Fonts w:ascii="方正仿宋_GBK" w:hAnsi="方正仿宋_GBK" w:eastAsia="方正仿宋_GBK" w:cs="方正仿宋_GBK"/>
          <w:b/>
          <w:bCs/>
          <w:sz w:val="32"/>
          <w:szCs w:val="32"/>
          <w:shd w:val="clear" w:color="auto" w:fill="FFFFFF"/>
        </w:rPr>
        <w:t> </w:t>
      </w:r>
      <w:r>
        <w:rPr>
          <w:rFonts w:ascii="楷体" w:hAnsi="楷体" w:eastAsia="楷体" w:cs="楷体"/>
          <w:b/>
          <w:bCs/>
          <w:sz w:val="32"/>
          <w:szCs w:val="32"/>
          <w:shd w:val="clear" w:color="auto" w:fill="FFFFFF"/>
        </w:rPr>
        <w:t>（一）财政拨款收入：</w:t>
      </w:r>
      <w:r>
        <w:rPr>
          <w:rFonts w:ascii="方正仿宋_GBK" w:hAnsi="方正仿宋_GBK" w:eastAsia="方正仿宋_GBK" w:cs="方正仿宋_GBK"/>
          <w:sz w:val="32"/>
          <w:szCs w:val="32"/>
          <w:shd w:val="clear" w:color="auto" w:fill="FFFFFF"/>
        </w:rPr>
        <w:t>指本年度从本级财政部门取得的财政拨款，包括一般公共预算财政拨款和政府性基金预算财政拨款。</w:t>
      </w:r>
    </w:p>
    <w:p>
      <w:pPr>
        <w:pStyle w:val="7"/>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1"/>
          <w:rFonts w:ascii="方正仿宋_GBK" w:hAnsi="方正仿宋_GBK" w:eastAsia="方正仿宋_GBK" w:cs="方正仿宋_GBK"/>
          <w:sz w:val="32"/>
          <w:szCs w:val="32"/>
          <w:shd w:val="clear" w:color="auto" w:fill="FFFFFF"/>
        </w:rPr>
        <w:t> </w:t>
      </w:r>
      <w:r>
        <w:rPr>
          <w:rStyle w:val="11"/>
          <w:rFonts w:ascii="楷体" w:hAnsi="楷体" w:eastAsia="楷体" w:cs="楷体"/>
          <w:sz w:val="32"/>
          <w:szCs w:val="32"/>
          <w:shd w:val="clear" w:color="auto" w:fill="FFFFFF"/>
        </w:rPr>
        <w:t>（二）事业收入</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指事业单位开展专业业务活动及其辅助活动取得的现金流入；事业单位收到的财政专户实际核拨的教育收费等资金在此反映。</w:t>
      </w:r>
    </w:p>
    <w:p>
      <w:pPr>
        <w:pStyle w:val="7"/>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1"/>
          <w:rFonts w:ascii="方正仿宋_GBK" w:hAnsi="方正仿宋_GBK" w:eastAsia="方正仿宋_GBK" w:cs="方正仿宋_GBK"/>
          <w:sz w:val="32"/>
          <w:szCs w:val="32"/>
          <w:shd w:val="clear" w:color="auto" w:fill="FFFFFF"/>
        </w:rPr>
        <w:t> </w:t>
      </w:r>
      <w:r>
        <w:rPr>
          <w:rStyle w:val="11"/>
          <w:rFonts w:ascii="楷体" w:hAnsi="楷体" w:eastAsia="楷体" w:cs="楷体"/>
          <w:sz w:val="32"/>
          <w:szCs w:val="32"/>
          <w:shd w:val="clear" w:color="auto" w:fill="FFFFFF"/>
        </w:rPr>
        <w:t>（三）经营收入</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指事业单位在专业业务活动及其辅助活动之外开展非独立核算经营活动取得的现金流入。</w:t>
      </w:r>
    </w:p>
    <w:p>
      <w:pPr>
        <w:pStyle w:val="7"/>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1"/>
          <w:rFonts w:ascii="方正仿宋_GBK" w:hAnsi="方正仿宋_GBK" w:eastAsia="方正仿宋_GBK" w:cs="方正仿宋_GBK"/>
          <w:sz w:val="32"/>
          <w:szCs w:val="32"/>
          <w:shd w:val="clear" w:color="auto" w:fill="FFFFFF"/>
        </w:rPr>
        <w:t> </w:t>
      </w:r>
      <w:r>
        <w:rPr>
          <w:rStyle w:val="11"/>
          <w:rFonts w:ascii="楷体" w:hAnsi="楷体" w:eastAsia="楷体" w:cs="楷体"/>
          <w:sz w:val="32"/>
          <w:szCs w:val="32"/>
          <w:shd w:val="clear" w:color="auto" w:fill="FFFFFF"/>
        </w:rPr>
        <w:t>（四）其他收入</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单位取得的除“财政拨款收入”、“事业收入”、“经营收入”等以外的收入，包括未纳入财政预算或财政专户管理的投资收益、银行存款利息收入、租金收入、捐赠收入，现金盘盈收入、存货盘盈收入、收回已核销的应收及预付款项、无法偿付的应付及预收款项等。各单位从本级财政部门以外的同级单位取得的经费、从非本级财政部门取得的经费，以及行政单位收到的财政专户管理资金反映在本项内。</w:t>
      </w:r>
    </w:p>
    <w:p>
      <w:pPr>
        <w:pStyle w:val="7"/>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1"/>
          <w:rFonts w:ascii="楷体" w:hAnsi="楷体" w:eastAsia="楷体" w:cs="楷体"/>
          <w:sz w:val="32"/>
          <w:szCs w:val="32"/>
          <w:shd w:val="clear" w:color="auto" w:fill="FFFFFF"/>
        </w:rPr>
        <w:t>（五）使用非财政拨款结余</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指单位在当年的“财政拨款收入”、“事业收入”、“经营收入”、“其他收入”等不足以安排当年支出的情况下，使用以前年度积累的非财政拨款结余弥补本年度收支缺口的资金。</w:t>
      </w:r>
    </w:p>
    <w:p>
      <w:pPr>
        <w:pStyle w:val="7"/>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1"/>
          <w:rFonts w:ascii="方正仿宋_GBK" w:hAnsi="方正仿宋_GBK" w:eastAsia="方正仿宋_GBK" w:cs="方正仿宋_GBK"/>
          <w:sz w:val="32"/>
          <w:szCs w:val="32"/>
          <w:shd w:val="clear" w:color="auto" w:fill="FFFFFF"/>
        </w:rPr>
        <w:t> </w:t>
      </w:r>
      <w:r>
        <w:rPr>
          <w:rStyle w:val="11"/>
          <w:rFonts w:ascii="楷体" w:hAnsi="楷体" w:eastAsia="楷体" w:cs="楷体"/>
          <w:sz w:val="32"/>
          <w:szCs w:val="32"/>
          <w:shd w:val="clear" w:color="auto" w:fill="FFFFFF"/>
        </w:rPr>
        <w:t>（六）年初结转和结余</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指单位上年结转本年使用的基本支出结转、项目支出结转和结余、经营结余。</w:t>
      </w:r>
    </w:p>
    <w:p>
      <w:pPr>
        <w:pStyle w:val="7"/>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1"/>
          <w:rFonts w:ascii="方正仿宋_GBK" w:hAnsi="方正仿宋_GBK" w:eastAsia="方正仿宋_GBK" w:cs="方正仿宋_GBK"/>
          <w:sz w:val="32"/>
          <w:szCs w:val="32"/>
          <w:shd w:val="clear" w:color="auto" w:fill="FFFFFF"/>
        </w:rPr>
        <w:t> </w:t>
      </w:r>
      <w:r>
        <w:rPr>
          <w:rStyle w:val="11"/>
          <w:rFonts w:ascii="楷体" w:hAnsi="楷体" w:eastAsia="楷体" w:cs="楷体"/>
          <w:sz w:val="32"/>
          <w:szCs w:val="32"/>
          <w:shd w:val="clear" w:color="auto" w:fill="FFFFFF"/>
        </w:rPr>
        <w:t>（七）结余分配</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指单位按照国家有关规定，缴纳所得税、提取专用基金、转入非财政拨款结余等当年结余的分配情况。</w:t>
      </w:r>
    </w:p>
    <w:p>
      <w:pPr>
        <w:pStyle w:val="7"/>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1"/>
          <w:rFonts w:ascii="方正仿宋_GBK" w:hAnsi="方正仿宋_GBK" w:eastAsia="方正仿宋_GBK" w:cs="方正仿宋_GBK"/>
          <w:sz w:val="32"/>
          <w:szCs w:val="32"/>
          <w:shd w:val="clear" w:color="auto" w:fill="FFFFFF"/>
        </w:rPr>
        <w:t> </w:t>
      </w:r>
      <w:r>
        <w:rPr>
          <w:rStyle w:val="11"/>
          <w:rFonts w:ascii="楷体" w:hAnsi="楷体" w:eastAsia="楷体" w:cs="楷体"/>
          <w:sz w:val="32"/>
          <w:szCs w:val="32"/>
          <w:shd w:val="clear" w:color="auto" w:fill="FFFFFF"/>
        </w:rPr>
        <w:t>（八）年末结转和结余</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指单位结转下年的基本支出结转、项目支出结转和结余、经营结余。</w:t>
      </w:r>
    </w:p>
    <w:p>
      <w:pPr>
        <w:pStyle w:val="7"/>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1"/>
          <w:rFonts w:ascii="方正仿宋_GBK" w:hAnsi="方正仿宋_GBK" w:eastAsia="方正仿宋_GBK" w:cs="方正仿宋_GBK"/>
          <w:sz w:val="32"/>
          <w:szCs w:val="32"/>
          <w:shd w:val="clear" w:color="auto" w:fill="FFFFFF"/>
        </w:rPr>
        <w:t> </w:t>
      </w:r>
      <w:r>
        <w:rPr>
          <w:rStyle w:val="11"/>
          <w:rFonts w:ascii="楷体" w:hAnsi="楷体" w:eastAsia="楷体" w:cs="楷体"/>
          <w:sz w:val="32"/>
          <w:szCs w:val="32"/>
          <w:shd w:val="clear" w:color="auto" w:fill="FFFFFF"/>
        </w:rPr>
        <w:t>（九）基本支出</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为保障机构正常运转、完成日常工作任务而发生的人员经费和公用经费。其中：人员经费指政府收支分类经济科目中的“工资福利支出”和“对个人和家庭的补助”；公用经费指政府收支分类经济科目中除“工资福利支出”和“对个人和家庭的补助”外的其他支出。</w:t>
      </w:r>
    </w:p>
    <w:p>
      <w:pPr>
        <w:pStyle w:val="7"/>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1"/>
          <w:rFonts w:ascii="方正仿宋_GBK" w:hAnsi="方正仿宋_GBK" w:eastAsia="方正仿宋_GBK" w:cs="方正仿宋_GBK"/>
          <w:sz w:val="32"/>
          <w:szCs w:val="32"/>
          <w:shd w:val="clear" w:color="auto" w:fill="FFFFFF"/>
        </w:rPr>
        <w:t> </w:t>
      </w:r>
      <w:r>
        <w:rPr>
          <w:rStyle w:val="11"/>
          <w:rFonts w:ascii="楷体" w:hAnsi="楷体" w:eastAsia="楷体" w:cs="楷体"/>
          <w:sz w:val="32"/>
          <w:szCs w:val="32"/>
          <w:shd w:val="clear" w:color="auto" w:fill="FFFFFF"/>
        </w:rPr>
        <w:t>（十）项目支出</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指在基本支出之外为完成特定行政任务和事业发展目标所发生的支出。</w:t>
      </w:r>
    </w:p>
    <w:p>
      <w:pPr>
        <w:pStyle w:val="7"/>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1"/>
          <w:rFonts w:ascii="方正仿宋_GBK" w:hAnsi="方正仿宋_GBK" w:eastAsia="方正仿宋_GBK" w:cs="方正仿宋_GBK"/>
          <w:sz w:val="32"/>
          <w:szCs w:val="32"/>
          <w:shd w:val="clear" w:color="auto" w:fill="FFFFFF"/>
        </w:rPr>
        <w:t> </w:t>
      </w:r>
      <w:r>
        <w:rPr>
          <w:rStyle w:val="11"/>
          <w:rFonts w:ascii="楷体" w:hAnsi="楷体" w:eastAsia="楷体" w:cs="楷体"/>
          <w:sz w:val="32"/>
          <w:szCs w:val="32"/>
          <w:shd w:val="clear" w:color="auto" w:fill="FFFFFF"/>
        </w:rPr>
        <w:t>（十一）经营支出</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指事业单位在专业业务活动及其辅助活动之外开展非独立核算经营活动发生的支出。</w:t>
      </w:r>
    </w:p>
    <w:p>
      <w:pPr>
        <w:pStyle w:val="7"/>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1"/>
          <w:rFonts w:ascii="方正仿宋_GBK" w:hAnsi="方正仿宋_GBK" w:eastAsia="方正仿宋_GBK" w:cs="方正仿宋_GBK"/>
          <w:sz w:val="32"/>
          <w:szCs w:val="32"/>
          <w:shd w:val="clear" w:color="auto" w:fill="FFFFFF"/>
        </w:rPr>
        <w:t> </w:t>
      </w:r>
      <w:r>
        <w:rPr>
          <w:rStyle w:val="11"/>
          <w:rFonts w:ascii="楷体" w:hAnsi="楷体" w:eastAsia="楷体" w:cs="楷体"/>
          <w:sz w:val="32"/>
          <w:szCs w:val="32"/>
          <w:shd w:val="clear" w:color="auto" w:fill="FFFFFF"/>
        </w:rPr>
        <w:t>（十二）“三公”经费</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pPr>
        <w:pStyle w:val="7"/>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1"/>
          <w:rFonts w:ascii="方正仿宋_GBK" w:hAnsi="方正仿宋_GBK" w:eastAsia="方正仿宋_GBK" w:cs="方正仿宋_GBK"/>
          <w:sz w:val="32"/>
          <w:szCs w:val="32"/>
          <w:shd w:val="clear" w:color="auto" w:fill="FFFFFF"/>
        </w:rPr>
        <w:t> </w:t>
      </w:r>
      <w:r>
        <w:rPr>
          <w:rStyle w:val="11"/>
          <w:rFonts w:ascii="楷体" w:hAnsi="楷体" w:eastAsia="楷体" w:cs="楷体"/>
          <w:sz w:val="32"/>
          <w:szCs w:val="32"/>
          <w:shd w:val="clear" w:color="auto" w:fill="FFFFFF"/>
        </w:rPr>
        <w:t>（十三）机关运行经费</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为保障行政单位（含参照公务员法管理的事业单位）运行用于购买货物和服务等的各项公用经费，包括办公及印刷费、邮电费、差旅费、会议费、福利费、日常维护费、专用材料及一般设备购置费、办公用房水电费、办公用房取暖费、办公用房物业管理费、公务用车运行维护费以及其他费用。</w:t>
      </w:r>
    </w:p>
    <w:p>
      <w:pPr>
        <w:pStyle w:val="7"/>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1"/>
          <w:rFonts w:ascii="方正仿宋_GBK" w:hAnsi="方正仿宋_GBK" w:eastAsia="方正仿宋_GBK" w:cs="方正仿宋_GBK"/>
          <w:sz w:val="32"/>
          <w:szCs w:val="32"/>
          <w:shd w:val="clear" w:color="auto" w:fill="FFFFFF"/>
        </w:rPr>
        <w:t> </w:t>
      </w:r>
      <w:r>
        <w:rPr>
          <w:rStyle w:val="11"/>
          <w:rFonts w:ascii="楷体" w:hAnsi="楷体" w:eastAsia="楷体" w:cs="楷体"/>
          <w:sz w:val="32"/>
          <w:szCs w:val="32"/>
          <w:shd w:val="clear" w:color="auto" w:fill="FFFFFF"/>
        </w:rPr>
        <w:t>（十四）工资福利支出（支出经济分类科目类级）</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反映单位开支的在职职工和编制外长期聘用人员的各类劳动报酬，以及为上述人员缴纳的各项社会保险费等。</w:t>
      </w:r>
    </w:p>
    <w:p>
      <w:pPr>
        <w:pStyle w:val="7"/>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1"/>
          <w:rFonts w:ascii="方正仿宋_GBK" w:hAnsi="方正仿宋_GBK" w:eastAsia="方正仿宋_GBK" w:cs="方正仿宋_GBK"/>
          <w:sz w:val="32"/>
          <w:szCs w:val="32"/>
          <w:shd w:val="clear" w:color="auto" w:fill="FFFFFF"/>
        </w:rPr>
        <w:t> </w:t>
      </w:r>
      <w:r>
        <w:rPr>
          <w:rStyle w:val="11"/>
          <w:rFonts w:ascii="楷体" w:hAnsi="楷体" w:eastAsia="楷体" w:cs="楷体"/>
          <w:sz w:val="32"/>
          <w:szCs w:val="32"/>
          <w:shd w:val="clear" w:color="auto" w:fill="FFFFFF"/>
        </w:rPr>
        <w:t>（十五）商品和服务支出（支出经济分类科目类级）</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反映单位购买商品和服务的支出（不包括用于购置固定资产的支出、战略性和应急储备支出）。</w:t>
      </w:r>
    </w:p>
    <w:p>
      <w:pPr>
        <w:pStyle w:val="7"/>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1"/>
          <w:rFonts w:ascii="楷体" w:hAnsi="楷体" w:eastAsia="楷体" w:cs="楷体"/>
          <w:sz w:val="32"/>
          <w:szCs w:val="32"/>
          <w:shd w:val="clear" w:color="auto" w:fill="FFFFFF"/>
        </w:rPr>
        <w:t> （十六）对个人和家庭的补助（支出经济分类科目类级）</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反映用于对个人和家庭的补助支出。</w:t>
      </w:r>
    </w:p>
    <w:p>
      <w:pPr>
        <w:pStyle w:val="7"/>
        <w:snapToGrid w:val="0"/>
        <w:spacing w:before="0" w:beforeAutospacing="0" w:after="0" w:afterAutospacing="0" w:line="600" w:lineRule="exact"/>
        <w:ind w:firstLine="643" w:firstLineChars="200"/>
        <w:jc w:val="both"/>
        <w:rPr>
          <w:rFonts w:hint="default" w:ascii="方正仿宋_GBK" w:hAnsi="方正仿宋_GBK" w:eastAsia="方正仿宋_GBK" w:cs="方正仿宋_GBK"/>
          <w:sz w:val="32"/>
          <w:szCs w:val="32"/>
        </w:rPr>
      </w:pPr>
      <w:r>
        <w:rPr>
          <w:rStyle w:val="11"/>
          <w:rFonts w:ascii="方正仿宋_GBK" w:hAnsi="方正仿宋_GBK" w:eastAsia="方正仿宋_GBK" w:cs="方正仿宋_GBK"/>
          <w:sz w:val="32"/>
          <w:szCs w:val="32"/>
          <w:shd w:val="clear" w:color="auto" w:fill="FFFFFF"/>
        </w:rPr>
        <w:t> </w:t>
      </w:r>
      <w:r>
        <w:rPr>
          <w:rStyle w:val="11"/>
          <w:rFonts w:ascii="楷体" w:hAnsi="楷体" w:eastAsia="楷体" w:cs="楷体"/>
          <w:sz w:val="32"/>
          <w:szCs w:val="32"/>
          <w:shd w:val="clear" w:color="auto" w:fill="FFFFFF"/>
        </w:rPr>
        <w:t>（十七）其他资本性支出（支出经济分类科目类级）</w:t>
      </w:r>
      <w:r>
        <w:rPr>
          <w:rFonts w:ascii="楷体" w:hAnsi="楷体" w:eastAsia="楷体" w:cs="楷体"/>
          <w:sz w:val="32"/>
          <w:szCs w:val="32"/>
          <w:shd w:val="clear" w:color="auto" w:fill="FFFFFF"/>
        </w:rPr>
        <w:t>：</w:t>
      </w:r>
      <w:r>
        <w:rPr>
          <w:rFonts w:ascii="方正仿宋_GBK" w:hAnsi="方正仿宋_GBK" w:eastAsia="方正仿宋_GBK" w:cs="方正仿宋_GBK"/>
          <w:sz w:val="32"/>
          <w:szCs w:val="32"/>
          <w:shd w:val="clear" w:color="auto" w:fill="FFFFFF"/>
        </w:rPr>
        <w:t>反映非各级发展与改革部门集中安排的用于购置固定资产、战略性和应急性储备、土地和无形资产，以及构建基础设施、大型修缮和财政支持企业更新改造所发生的支出。</w:t>
      </w:r>
    </w:p>
    <w:p>
      <w:pPr>
        <w:pStyle w:val="7"/>
        <w:shd w:val="clear" w:color="auto" w:fill="FFFFFF"/>
        <w:rPr>
          <w:rStyle w:val="11"/>
          <w:rFonts w:hint="default" w:ascii="方正仿宋_GBK" w:hAnsi="方正仿宋_GBK" w:eastAsia="方正仿宋_GBK" w:cs="方正仿宋_GBK"/>
          <w:sz w:val="32"/>
          <w:szCs w:val="32"/>
          <w:shd w:val="clear" w:color="auto" w:fill="FFFFFF"/>
        </w:rPr>
      </w:pPr>
      <w:r>
        <w:rPr>
          <w:rStyle w:val="11"/>
          <w:rFonts w:ascii="方正仿宋_GBK" w:hAnsi="方正仿宋_GBK" w:eastAsia="方正仿宋_GBK" w:cs="方正仿宋_GBK"/>
          <w:sz w:val="32"/>
          <w:szCs w:val="32"/>
          <w:shd w:val="clear" w:color="auto" w:fill="FFFFFF"/>
        </w:rPr>
        <w:t xml:space="preserve">  </w:t>
      </w:r>
      <w:r>
        <w:rPr>
          <w:rStyle w:val="11"/>
          <w:rFonts w:ascii="黑体" w:hAnsi="黑体" w:eastAsia="黑体" w:cs="黑体"/>
          <w:sz w:val="32"/>
          <w:szCs w:val="32"/>
          <w:shd w:val="clear" w:color="auto" w:fill="FFFFFF"/>
        </w:rPr>
        <w:t>七、决算公开联系方式及信息反馈渠道</w:t>
      </w:r>
    </w:p>
    <w:p>
      <w:pPr>
        <w:pStyle w:val="12"/>
        <w:autoSpaceDE w:val="0"/>
        <w:ind w:firstLine="0" w:firstLineChars="0"/>
        <w:rPr>
          <w:rStyle w:val="11"/>
          <w:rFonts w:ascii="方正仿宋_GBK" w:hAnsi="方正仿宋_GBK" w:eastAsia="方正仿宋_GBK" w:cs="方正仿宋_GBK"/>
          <w:sz w:val="32"/>
          <w:szCs w:val="32"/>
          <w:shd w:val="clear" w:color="auto" w:fill="FFFF00"/>
        </w:rPr>
      </w:pPr>
      <w:r>
        <w:rPr>
          <w:rFonts w:ascii="方正仿宋_GBK" w:hAnsi="方正仿宋_GBK" w:eastAsia="方正仿宋_GBK" w:cs="方正仿宋_GBK"/>
          <w:sz w:val="32"/>
          <w:szCs w:val="32"/>
          <w:shd w:val="clear" w:color="auto" w:fill="FFFFFF"/>
        </w:rPr>
        <w:t>本单位决算公开信息反馈和联系方式：</w:t>
      </w:r>
      <w:r>
        <w:rPr>
          <w:rFonts w:hint="eastAsia" w:ascii="方正仿宋_GBK" w:hAnsi="方正仿宋_GBK" w:eastAsia="方正仿宋_GBK" w:cs="方正仿宋_GBK"/>
          <w:sz w:val="32"/>
          <w:szCs w:val="32"/>
          <w:shd w:val="clear" w:color="auto" w:fill="FFFFFF"/>
          <w:lang w:val="en-US" w:eastAsia="zh-CN"/>
        </w:rPr>
        <w:t>陈浩文</w:t>
      </w:r>
      <w:r>
        <w:rPr>
          <w:rFonts w:hint="eastAsia" w:ascii="方正仿宋_GBK" w:hAnsi="方正仿宋_GBK" w:eastAsia="方正仿宋_GBK" w:cs="方正仿宋_GBK"/>
          <w:sz w:val="32"/>
          <w:szCs w:val="32"/>
          <w:shd w:val="clear" w:color="auto" w:fill="FFFFFF"/>
        </w:rPr>
        <w:t xml:space="preserve">  023-722022</w:t>
      </w:r>
    </w:p>
    <w:p>
      <w:pPr>
        <w:pStyle w:val="12"/>
        <w:autoSpaceDE w:val="0"/>
        <w:ind w:firstLine="0" w:firstLineChars="0"/>
        <w:rPr>
          <w:rStyle w:val="11"/>
          <w:rFonts w:ascii="方正仿宋_GBK" w:hAnsi="方正仿宋_GBK" w:eastAsia="方正仿宋_GBK" w:cs="方正仿宋_GBK"/>
          <w:sz w:val="32"/>
          <w:szCs w:val="32"/>
          <w:shd w:val="clear" w:color="auto" w:fill="FFFF00"/>
        </w:rPr>
        <w:sectPr>
          <w:footerReference r:id="rId3" w:type="default"/>
          <w:pgSz w:w="11915" w:h="16840"/>
          <w:pgMar w:top="1440" w:right="1800" w:bottom="1440" w:left="1800" w:header="851" w:footer="992" w:gutter="0"/>
          <w:pgNumType w:fmt="numberInDash"/>
          <w:cols w:space="720" w:num="1"/>
          <w:docGrid w:type="lines" w:linePitch="312" w:charSpace="0"/>
        </w:sectPr>
      </w:pPr>
    </w:p>
    <w:p>
      <w:pPr>
        <w:rPr>
          <w:rFonts w:hint="default" w:cs="宋体"/>
          <w:sz w:val="21"/>
          <w:szCs w:val="21"/>
        </w:rPr>
      </w:pPr>
    </w:p>
    <w:tbl>
      <w:tblPr>
        <w:tblStyle w:val="8"/>
        <w:tblW w:w="5005" w:type="pct"/>
        <w:tblInd w:w="0" w:type="dxa"/>
        <w:tblLayout w:type="autofit"/>
        <w:tblCellMar>
          <w:top w:w="0" w:type="dxa"/>
          <w:left w:w="0" w:type="dxa"/>
          <w:bottom w:w="0" w:type="dxa"/>
          <w:right w:w="0" w:type="dxa"/>
        </w:tblCellMar>
      </w:tblPr>
      <w:tblGrid>
        <w:gridCol w:w="5104"/>
        <w:gridCol w:w="2012"/>
        <w:gridCol w:w="4791"/>
        <w:gridCol w:w="3430"/>
      </w:tblGrid>
      <w:tr>
        <w:tblPrEx>
          <w:tblCellMar>
            <w:top w:w="0" w:type="dxa"/>
            <w:left w:w="0" w:type="dxa"/>
            <w:bottom w:w="0" w:type="dxa"/>
            <w:right w:w="0" w:type="dxa"/>
          </w:tblCellMar>
        </w:tblPrEx>
        <w:trPr>
          <w:trHeight w:val="232" w:hRule="atLeast"/>
        </w:trPr>
        <w:tc>
          <w:tcPr>
            <w:tcW w:w="5000" w:type="pct"/>
            <w:gridSpan w:val="4"/>
            <w:tcBorders>
              <w:top w:val="nil"/>
              <w:left w:val="nil"/>
              <w:bottom w:val="nil"/>
              <w:right w:val="nil"/>
            </w:tcBorders>
            <w:shd w:val="clear" w:color="auto" w:fill="auto"/>
            <w:noWrap/>
            <w:tcMar>
              <w:top w:w="15" w:type="dxa"/>
              <w:left w:w="15" w:type="dxa"/>
              <w:right w:w="15" w:type="dxa"/>
            </w:tcMar>
            <w:vAlign w:val="bottom"/>
          </w:tcPr>
          <w:p>
            <w:pPr>
              <w:spacing w:line="400" w:lineRule="exact"/>
              <w:jc w:val="center"/>
              <w:textAlignment w:val="bottom"/>
              <w:rPr>
                <w:rFonts w:hint="default" w:cs="宋体"/>
                <w:b/>
                <w:color w:val="000000"/>
                <w:sz w:val="32"/>
                <w:szCs w:val="32"/>
              </w:rPr>
            </w:pPr>
            <w:r>
              <w:rPr>
                <w:rFonts w:cs="宋体"/>
                <w:b/>
                <w:color w:val="000000"/>
                <w:sz w:val="32"/>
                <w:szCs w:val="32"/>
              </w:rPr>
              <w:t>收入支出决算总表</w:t>
            </w:r>
          </w:p>
        </w:tc>
      </w:tr>
      <w:tr>
        <w:tblPrEx>
          <w:tblCellMar>
            <w:top w:w="0" w:type="dxa"/>
            <w:left w:w="0" w:type="dxa"/>
            <w:bottom w:w="0" w:type="dxa"/>
            <w:right w:w="0" w:type="dxa"/>
          </w:tblCellMar>
        </w:tblPrEx>
        <w:trPr>
          <w:trHeight w:val="232" w:hRule="atLeast"/>
        </w:trPr>
        <w:tc>
          <w:tcPr>
            <w:tcW w:w="1664"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ascii="Arial" w:hAnsi="Arial" w:cs="Arial"/>
                <w:color w:val="000000"/>
                <w:sz w:val="20"/>
                <w:szCs w:val="20"/>
              </w:rPr>
            </w:pPr>
          </w:p>
        </w:tc>
        <w:tc>
          <w:tcPr>
            <w:tcW w:w="656" w:type="pct"/>
            <w:tcBorders>
              <w:top w:val="nil"/>
              <w:left w:val="nil"/>
              <w:bottom w:val="nil"/>
              <w:right w:val="nil"/>
            </w:tcBorders>
            <w:shd w:val="clear" w:color="auto" w:fill="auto"/>
            <w:noWrap/>
            <w:tcMar>
              <w:top w:w="15" w:type="dxa"/>
              <w:left w:w="15" w:type="dxa"/>
              <w:right w:w="15" w:type="dxa"/>
            </w:tcMar>
            <w:vAlign w:val="bottom"/>
          </w:tcPr>
          <w:p>
            <w:pPr>
              <w:spacing w:line="200" w:lineRule="exact"/>
              <w:jc w:val="right"/>
              <w:rPr>
                <w:rFonts w:hint="default" w:ascii="Arial" w:hAnsi="Arial" w:cs="Arial"/>
                <w:color w:val="000000"/>
                <w:sz w:val="20"/>
                <w:szCs w:val="20"/>
              </w:rPr>
            </w:pPr>
          </w:p>
        </w:tc>
        <w:tc>
          <w:tcPr>
            <w:tcW w:w="1562"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ascii="Arial" w:hAnsi="Arial" w:cs="Arial"/>
                <w:color w:val="000000"/>
                <w:sz w:val="20"/>
                <w:szCs w:val="20"/>
              </w:rPr>
            </w:pPr>
          </w:p>
        </w:tc>
        <w:tc>
          <w:tcPr>
            <w:tcW w:w="1118" w:type="pct"/>
            <w:tcBorders>
              <w:top w:val="nil"/>
              <w:left w:val="nil"/>
              <w:bottom w:val="nil"/>
              <w:right w:val="nil"/>
            </w:tcBorders>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sz w:val="20"/>
                <w:szCs w:val="20"/>
              </w:rPr>
            </w:pPr>
            <w:r>
              <w:rPr>
                <w:rFonts w:cs="宋体"/>
                <w:color w:val="000000"/>
                <w:sz w:val="20"/>
                <w:szCs w:val="20"/>
              </w:rPr>
              <w:t>公开01表</w:t>
            </w:r>
          </w:p>
        </w:tc>
      </w:tr>
      <w:tr>
        <w:tblPrEx>
          <w:tblCellMar>
            <w:top w:w="0" w:type="dxa"/>
            <w:left w:w="0" w:type="dxa"/>
            <w:bottom w:w="0" w:type="dxa"/>
            <w:right w:w="0" w:type="dxa"/>
          </w:tblCellMar>
        </w:tblPrEx>
        <w:trPr>
          <w:trHeight w:val="232" w:hRule="atLeast"/>
        </w:trPr>
        <w:tc>
          <w:tcPr>
            <w:tcW w:w="2320" w:type="pct"/>
            <w:gridSpan w:val="2"/>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ascii="Arial" w:hAnsi="Arial" w:cs="Arial"/>
                <w:color w:val="000000"/>
                <w:sz w:val="22"/>
                <w:szCs w:val="22"/>
              </w:rPr>
            </w:pPr>
            <w:r>
              <w:rPr>
                <w:rFonts w:cs="宋体"/>
                <w:sz w:val="20"/>
                <w:szCs w:val="20"/>
              </w:rPr>
              <w:t>公开部门：</w:t>
            </w:r>
            <w:r>
              <w:rPr>
                <w:sz w:val="20"/>
                <w:u w:color="auto"/>
              </w:rPr>
              <w:t>重庆市忠县黄金镇人民政府</w:t>
            </w:r>
          </w:p>
        </w:tc>
        <w:tc>
          <w:tcPr>
            <w:tcW w:w="1562"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ascii="Arial" w:hAnsi="Arial" w:cs="Arial"/>
                <w:color w:val="000000"/>
                <w:sz w:val="22"/>
                <w:szCs w:val="22"/>
              </w:rPr>
            </w:pPr>
          </w:p>
        </w:tc>
        <w:tc>
          <w:tcPr>
            <w:tcW w:w="1118" w:type="pct"/>
            <w:tcBorders>
              <w:top w:val="nil"/>
              <w:left w:val="nil"/>
              <w:bottom w:val="nil"/>
              <w:right w:val="nil"/>
            </w:tcBorders>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243" w:hRule="atLeast"/>
        </w:trPr>
        <w:tc>
          <w:tcPr>
            <w:tcW w:w="2320" w:type="pct"/>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收入</w:t>
            </w:r>
          </w:p>
        </w:tc>
        <w:tc>
          <w:tcPr>
            <w:tcW w:w="2680" w:type="pct"/>
            <w:gridSpan w:val="2"/>
            <w:tcBorders>
              <w:top w:val="single" w:color="000000" w:sz="4" w:space="0"/>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支出</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项目</w:t>
            </w:r>
          </w:p>
        </w:tc>
        <w:tc>
          <w:tcPr>
            <w:tcW w:w="656"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决算数</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功能分类科目</w:t>
            </w:r>
          </w:p>
        </w:tc>
        <w:tc>
          <w:tcPr>
            <w:tcW w:w="1118"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决算数</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一、一般公共预算财政拨款收入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3,744.62</w:t>
            </w: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一、一般公共服务支出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903.56</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二、政府性基金预算财政拨款收入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81.00</w:t>
            </w: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二、外交支出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三、国有资本经营预算财政拨款收入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三、国防支出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四、上级补助收入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四、公共安全支出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五、事业收入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五、教育支出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4.85</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六、经营收入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六、科学技术支出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七、附属单位上缴收入</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七、文化旅游体育与传媒支出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61.20</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八、其他收入</w:t>
            </w:r>
          </w:p>
        </w:tc>
        <w:tc>
          <w:tcPr>
            <w:tcW w:w="656" w:type="pct"/>
            <w:tcBorders>
              <w:top w:val="nil"/>
              <w:left w:val="nil"/>
              <w:bottom w:val="nil"/>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八、社会保障和就业支出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1,342.08</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40" w:lineRule="exact"/>
              <w:jc w:val="right"/>
              <w:rPr>
                <w:rFonts w:hint="default" w:ascii="Arial" w:hAnsi="Arial" w:cs="Arial"/>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九、卫生健康支出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74.82</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40" w:lineRule="exact"/>
              <w:jc w:val="right"/>
              <w:rPr>
                <w:rFonts w:hint="default" w:ascii="Arial" w:hAnsi="Arial" w:cs="Arial"/>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十、节能环保支出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109.00</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40" w:lineRule="exact"/>
              <w:jc w:val="right"/>
              <w:rPr>
                <w:rFonts w:hint="default" w:ascii="Arial" w:hAnsi="Arial" w:cs="Arial"/>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十一、城乡社区支出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66.27</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40" w:lineRule="exact"/>
              <w:jc w:val="right"/>
              <w:rPr>
                <w:rFonts w:hint="default" w:ascii="Arial" w:hAnsi="Arial" w:cs="Arial"/>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十二、农林水支出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984.75</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十三、交通运输支出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十四、资源勘探工业信息等支出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十五、商业服务业等支出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十六、金融支出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十七、援助其他地区支出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十八、自然资源海洋气象等支出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十九、住房保障支出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99.00</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二十、粮油物资储备支出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二十一、国有资本经营预算支出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二十二、灾害防治及应急管理支出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139.09</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二十三、其他支出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41.00</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rPr>
                <w:rFonts w:hint="default" w:cs="宋体"/>
                <w:b/>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二十四、债务还本支出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二十五、债务付息支出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rPr>
                <w:rFonts w:hint="default" w:cs="宋体"/>
                <w:color w:val="000000"/>
                <w:sz w:val="20"/>
                <w:szCs w:val="20"/>
              </w:rPr>
            </w:pP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rPr>
                <w:rFonts w:hint="default" w:cs="宋体"/>
                <w:color w:val="000000"/>
                <w:sz w:val="20"/>
                <w:szCs w:val="20"/>
              </w:rPr>
            </w:pP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二十六、抗疫特别国债安排的支出</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本年收入合计</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3,825.62</w:t>
            </w: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本年支出合计</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3,825.62</w:t>
            </w: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使用非财政拨款结余和专用结余</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结余分配</w:t>
            </w:r>
          </w:p>
        </w:tc>
        <w:tc>
          <w:tcPr>
            <w:tcW w:w="111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4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年初结转和结余</w:t>
            </w:r>
          </w:p>
        </w:tc>
        <w:tc>
          <w:tcPr>
            <w:tcW w:w="6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c>
          <w:tcPr>
            <w:tcW w:w="1562"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textAlignment w:val="center"/>
              <w:rPr>
                <w:rFonts w:hint="default" w:cs="宋体"/>
                <w:color w:val="000000"/>
                <w:sz w:val="20"/>
                <w:szCs w:val="20"/>
              </w:rPr>
            </w:pPr>
            <w:r>
              <w:rPr>
                <w:rFonts w:cs="宋体"/>
                <w:color w:val="000000"/>
                <w:sz w:val="20"/>
                <w:szCs w:val="20"/>
              </w:rPr>
              <w:t>年末结转和结余</w:t>
            </w:r>
          </w:p>
        </w:tc>
        <w:tc>
          <w:tcPr>
            <w:tcW w:w="1118" w:type="pct"/>
            <w:tcBorders>
              <w:top w:val="nil"/>
              <w:left w:val="nil"/>
              <w:bottom w:val="single" w:color="auto"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253" w:hRule="atLeast"/>
        </w:trPr>
        <w:tc>
          <w:tcPr>
            <w:tcW w:w="1664"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总计</w:t>
            </w:r>
          </w:p>
        </w:tc>
        <w:tc>
          <w:tcPr>
            <w:tcW w:w="65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3,825.62</w:t>
            </w:r>
            <w:r>
              <w:rPr>
                <w:color w:val="000000"/>
                <w:sz w:val="20"/>
                <w:u w:color="auto"/>
              </w:rPr>
              <w:t xml:space="preserve"> </w:t>
            </w:r>
          </w:p>
        </w:tc>
        <w:tc>
          <w:tcPr>
            <w:tcW w:w="1562" w:type="pct"/>
            <w:tcBorders>
              <w:top w:val="nil"/>
              <w:left w:val="nil"/>
              <w:bottom w:val="single" w:color="000000" w:sz="4" w:space="0"/>
              <w:right w:val="single" w:color="auto" w:sz="4" w:space="0"/>
            </w:tcBorders>
            <w:shd w:val="clear" w:color="FFFFFF" w:fill="C0C0C0"/>
            <w:noWrap/>
            <w:tcMar>
              <w:top w:w="15" w:type="dxa"/>
              <w:left w:w="15" w:type="dxa"/>
              <w:right w:w="15" w:type="dxa"/>
            </w:tcMar>
            <w:vAlign w:val="center"/>
          </w:tcPr>
          <w:p>
            <w:pPr>
              <w:spacing w:line="240" w:lineRule="exact"/>
              <w:jc w:val="center"/>
              <w:textAlignment w:val="center"/>
              <w:rPr>
                <w:rFonts w:hint="default" w:cs="宋体"/>
                <w:b/>
                <w:color w:val="000000"/>
                <w:sz w:val="20"/>
                <w:szCs w:val="20"/>
              </w:rPr>
            </w:pPr>
            <w:r>
              <w:rPr>
                <w:rFonts w:cs="宋体"/>
                <w:b/>
                <w:color w:val="000000"/>
                <w:sz w:val="20"/>
                <w:szCs w:val="20"/>
              </w:rPr>
              <w:t>总计</w:t>
            </w:r>
          </w:p>
        </w:tc>
        <w:tc>
          <w:tcPr>
            <w:tcW w:w="1118"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40" w:lineRule="exact"/>
              <w:jc w:val="right"/>
              <w:textAlignment w:val="center"/>
              <w:rPr>
                <w:rFonts w:hint="default" w:cs="宋体"/>
                <w:color w:val="000000"/>
                <w:sz w:val="20"/>
                <w:szCs w:val="20"/>
              </w:rPr>
            </w:pPr>
            <w:r>
              <w:rPr>
                <w:rFonts w:cs="宋体"/>
                <w:color w:val="000000"/>
                <w:sz w:val="20"/>
                <w:szCs w:val="20"/>
              </w:rPr>
              <w:t>3,825.62</w:t>
            </w:r>
            <w:r>
              <w:rPr>
                <w:color w:val="000000"/>
                <w:sz w:val="20"/>
                <w:u w:color="auto"/>
              </w:rPr>
              <w:t xml:space="preserve"> </w:t>
            </w:r>
          </w:p>
        </w:tc>
      </w:tr>
    </w:tbl>
    <w:p>
      <w:pPr>
        <w:spacing w:line="240" w:lineRule="exact"/>
        <w:rPr>
          <w:rFonts w:hint="default" w:cs="宋体"/>
          <w:sz w:val="20"/>
          <w:szCs w:val="20"/>
        </w:rPr>
      </w:pPr>
      <w:r>
        <w:rPr>
          <w:rFonts w:cs="宋体"/>
          <w:sz w:val="20"/>
          <w:szCs w:val="20"/>
        </w:rPr>
        <w:t>备注：1.本表反映部门本年度的总收支和年末结转结余情况。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p>
    <w:tbl>
      <w:tblPr>
        <w:tblStyle w:val="8"/>
        <w:tblW w:w="5000" w:type="pct"/>
        <w:tblInd w:w="0" w:type="dxa"/>
        <w:tblLayout w:type="fixed"/>
        <w:tblCellMar>
          <w:top w:w="0" w:type="dxa"/>
          <w:left w:w="0" w:type="dxa"/>
          <w:bottom w:w="0" w:type="dxa"/>
          <w:right w:w="0" w:type="dxa"/>
        </w:tblCellMar>
      </w:tblPr>
      <w:tblGrid>
        <w:gridCol w:w="1694"/>
        <w:gridCol w:w="3159"/>
        <w:gridCol w:w="1229"/>
        <w:gridCol w:w="1229"/>
        <w:gridCol w:w="1229"/>
        <w:gridCol w:w="1229"/>
        <w:gridCol w:w="1361"/>
        <w:gridCol w:w="1302"/>
        <w:gridCol w:w="1434"/>
        <w:gridCol w:w="1456"/>
      </w:tblGrid>
      <w:tr>
        <w:tblPrEx>
          <w:tblCellMar>
            <w:top w:w="0" w:type="dxa"/>
            <w:left w:w="0" w:type="dxa"/>
            <w:bottom w:w="0" w:type="dxa"/>
            <w:right w:w="0" w:type="dxa"/>
          </w:tblCellMar>
        </w:tblPrEx>
        <w:trPr>
          <w:trHeight w:val="641" w:hRule="atLeast"/>
        </w:trPr>
        <w:tc>
          <w:tcPr>
            <w:tcW w:w="5000" w:type="pct"/>
            <w:gridSpan w:val="10"/>
            <w:tcBorders>
              <w:top w:val="nil"/>
              <w:left w:val="nil"/>
              <w:bottom w:val="nil"/>
              <w:right w:val="nil"/>
            </w:tcBorders>
            <w:shd w:val="clear" w:color="auto" w:fill="auto"/>
            <w:noWrap/>
            <w:tcMar>
              <w:top w:w="15" w:type="dxa"/>
              <w:left w:w="15" w:type="dxa"/>
              <w:right w:w="15" w:type="dxa"/>
            </w:tcMar>
            <w:vAlign w:val="bottom"/>
          </w:tcPr>
          <w:p>
            <w:pPr>
              <w:jc w:val="center"/>
              <w:textAlignment w:val="bottom"/>
              <w:rPr>
                <w:rFonts w:hint="default" w:cs="宋体"/>
                <w:b/>
                <w:color w:val="000000"/>
                <w:sz w:val="32"/>
                <w:szCs w:val="32"/>
              </w:rPr>
            </w:pPr>
            <w:r>
              <w:rPr>
                <w:rFonts w:cs="宋体"/>
                <w:b/>
                <w:color w:val="000000"/>
                <w:sz w:val="32"/>
                <w:szCs w:val="32"/>
              </w:rPr>
              <w:t>收入决算表</w:t>
            </w:r>
          </w:p>
        </w:tc>
      </w:tr>
      <w:tr>
        <w:tblPrEx>
          <w:tblCellMar>
            <w:top w:w="0" w:type="dxa"/>
            <w:left w:w="0" w:type="dxa"/>
            <w:bottom w:w="0" w:type="dxa"/>
            <w:right w:w="0" w:type="dxa"/>
          </w:tblCellMar>
        </w:tblPrEx>
        <w:trPr>
          <w:trHeight w:val="328" w:hRule="atLeast"/>
        </w:trPr>
        <w:tc>
          <w:tcPr>
            <w:tcW w:w="1985" w:type="pct"/>
            <w:gridSpan w:val="3"/>
            <w:vMerge w:val="restart"/>
            <w:tcBorders>
              <w:top w:val="nil"/>
              <w:left w:val="nil"/>
              <w:right w:val="nil"/>
            </w:tcBorders>
            <w:shd w:val="clear" w:color="auto" w:fill="auto"/>
            <w:noWrap/>
            <w:tcMar>
              <w:top w:w="15" w:type="dxa"/>
              <w:left w:w="15" w:type="dxa"/>
              <w:right w:w="15" w:type="dxa"/>
            </w:tcMar>
            <w:vAlign w:val="bottom"/>
          </w:tcPr>
          <w:p>
            <w:pPr>
              <w:rPr>
                <w:rFonts w:hint="default" w:cs="宋体"/>
                <w:color w:val="000000"/>
                <w:sz w:val="20"/>
                <w:szCs w:val="20"/>
              </w:rPr>
            </w:pPr>
            <w:r>
              <w:rPr>
                <w:rFonts w:cs="宋体"/>
                <w:sz w:val="20"/>
                <w:szCs w:val="20"/>
              </w:rPr>
              <w:t>公开部门：</w:t>
            </w:r>
            <w:r>
              <w:rPr>
                <w:sz w:val="20"/>
                <w:u w:color="auto"/>
              </w:rPr>
              <w:t>重庆市忠县黄金镇人民政府</w:t>
            </w:r>
          </w:p>
        </w:tc>
        <w:tc>
          <w:tcPr>
            <w:tcW w:w="401"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01"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01"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44"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25"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68"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75" w:type="pct"/>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公开02表</w:t>
            </w:r>
          </w:p>
        </w:tc>
      </w:tr>
      <w:tr>
        <w:tblPrEx>
          <w:tblCellMar>
            <w:top w:w="0" w:type="dxa"/>
            <w:left w:w="0" w:type="dxa"/>
            <w:bottom w:w="0" w:type="dxa"/>
            <w:right w:w="0" w:type="dxa"/>
          </w:tblCellMar>
        </w:tblPrEx>
        <w:trPr>
          <w:trHeight w:val="328" w:hRule="atLeast"/>
        </w:trPr>
        <w:tc>
          <w:tcPr>
            <w:tcW w:w="1985" w:type="pct"/>
            <w:gridSpan w:val="3"/>
            <w:vMerge w:val="continue"/>
            <w:tcBorders>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01"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01"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01"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44"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25"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68"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475" w:type="pct"/>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431" w:hRule="atLeast"/>
        </w:trPr>
        <w:tc>
          <w:tcPr>
            <w:tcW w:w="1584" w:type="pct"/>
            <w:gridSpan w:val="2"/>
            <w:tcBorders>
              <w:top w:val="single" w:color="000000" w:sz="4" w:space="0"/>
              <w:left w:val="single" w:color="000000" w:sz="4" w:space="0"/>
              <w:bottom w:val="single" w:color="000000" w:sz="4" w:space="0"/>
              <w:right w:val="nil"/>
            </w:tcBorders>
            <w:shd w:val="clear" w:color="auto" w:fill="D0CECE"/>
            <w:noWrap/>
            <w:tcMar>
              <w:top w:w="15" w:type="dxa"/>
              <w:left w:w="15" w:type="dxa"/>
              <w:right w:w="15" w:type="dxa"/>
            </w:tcMar>
            <w:vAlign w:val="bottom"/>
          </w:tcPr>
          <w:p>
            <w:pPr>
              <w:jc w:val="center"/>
              <w:textAlignment w:val="bottom"/>
              <w:rPr>
                <w:rFonts w:hint="default" w:cs="宋体"/>
                <w:b/>
                <w:color w:val="000000"/>
                <w:sz w:val="20"/>
                <w:szCs w:val="20"/>
              </w:rPr>
            </w:pPr>
            <w:r>
              <w:rPr>
                <w:rFonts w:cs="宋体"/>
                <w:b/>
                <w:color w:val="000000"/>
                <w:sz w:val="20"/>
                <w:szCs w:val="20"/>
              </w:rPr>
              <w:t>项目</w:t>
            </w:r>
          </w:p>
        </w:tc>
        <w:tc>
          <w:tcPr>
            <w:tcW w:w="401"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本年收入合计</w:t>
            </w:r>
          </w:p>
        </w:tc>
        <w:tc>
          <w:tcPr>
            <w:tcW w:w="401"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财政拨款收入</w:t>
            </w:r>
          </w:p>
        </w:tc>
        <w:tc>
          <w:tcPr>
            <w:tcW w:w="401"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上级补助收入</w:t>
            </w:r>
          </w:p>
        </w:tc>
        <w:tc>
          <w:tcPr>
            <w:tcW w:w="845" w:type="pct"/>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jc w:val="center"/>
              <w:textAlignment w:val="bottom"/>
              <w:rPr>
                <w:rFonts w:hint="default" w:cs="宋体"/>
                <w:b/>
                <w:color w:val="000000"/>
                <w:sz w:val="20"/>
                <w:szCs w:val="20"/>
              </w:rPr>
            </w:pPr>
            <w:r>
              <w:rPr>
                <w:rFonts w:cs="宋体"/>
                <w:b/>
                <w:color w:val="000000"/>
                <w:sz w:val="20"/>
                <w:szCs w:val="20"/>
              </w:rPr>
              <w:t>事业收入</w:t>
            </w:r>
          </w:p>
        </w:tc>
        <w:tc>
          <w:tcPr>
            <w:tcW w:w="425"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经营收入</w:t>
            </w:r>
          </w:p>
        </w:tc>
        <w:tc>
          <w:tcPr>
            <w:tcW w:w="468"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附属单位上缴收入</w:t>
            </w:r>
          </w:p>
        </w:tc>
        <w:tc>
          <w:tcPr>
            <w:tcW w:w="475"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其他收入</w:t>
            </w:r>
          </w:p>
        </w:tc>
      </w:tr>
      <w:tr>
        <w:tblPrEx>
          <w:tblCellMar>
            <w:top w:w="0" w:type="dxa"/>
            <w:left w:w="0" w:type="dxa"/>
            <w:bottom w:w="0" w:type="dxa"/>
            <w:right w:w="0" w:type="dxa"/>
          </w:tblCellMar>
        </w:tblPrEx>
        <w:trPr>
          <w:trHeight w:val="334" w:hRule="atLeast"/>
        </w:trPr>
        <w:tc>
          <w:tcPr>
            <w:tcW w:w="553" w:type="pct"/>
            <w:vMerge w:val="restar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功能分类科目编码</w:t>
            </w:r>
          </w:p>
        </w:tc>
        <w:tc>
          <w:tcPr>
            <w:tcW w:w="1031" w:type="pct"/>
            <w:vMerge w:val="restart"/>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项目（按“项”级功能分类科目）</w:t>
            </w: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小计</w:t>
            </w:r>
          </w:p>
        </w:tc>
        <w:tc>
          <w:tcPr>
            <w:tcW w:w="444"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其中：教育收费</w:t>
            </w:r>
          </w:p>
        </w:tc>
        <w:tc>
          <w:tcPr>
            <w:tcW w:w="42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4" w:hRule="atLeast"/>
        </w:trPr>
        <w:tc>
          <w:tcPr>
            <w:tcW w:w="553"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1031"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4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2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4" w:hRule="atLeast"/>
        </w:trPr>
        <w:tc>
          <w:tcPr>
            <w:tcW w:w="553"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1031"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4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2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4" w:hRule="atLeast"/>
        </w:trPr>
        <w:tc>
          <w:tcPr>
            <w:tcW w:w="553"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1031"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0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4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2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47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8" w:hRule="atLeast"/>
        </w:trPr>
        <w:tc>
          <w:tcPr>
            <w:tcW w:w="1584" w:type="pct"/>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40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3,825.62</w:t>
            </w:r>
            <w:r>
              <w:rPr>
                <w:b/>
                <w:color w:val="000000"/>
                <w:sz w:val="20"/>
                <w:u w:color="auto"/>
              </w:rPr>
              <w:t xml:space="preserve"> </w:t>
            </w:r>
          </w:p>
        </w:tc>
        <w:tc>
          <w:tcPr>
            <w:tcW w:w="40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3,825.62</w:t>
            </w:r>
            <w:r>
              <w:rPr>
                <w:b/>
                <w:color w:val="000000"/>
                <w:sz w:val="20"/>
                <w:u w:color="auto"/>
              </w:rPr>
              <w:t xml:space="preserve"> </w:t>
            </w:r>
          </w:p>
        </w:tc>
        <w:tc>
          <w:tcPr>
            <w:tcW w:w="40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40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44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42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4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47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一般公共服务支出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903.56</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903.56</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20103</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政府办公厅（室）及相关机构事务</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903.56</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903.56</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2010301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行政运行</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898.02</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898.02</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2010399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其他政府办公厅（室）及相关机构事务支出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5.54</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5.54</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205</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教育支出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4.85</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4.85</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20508</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进修及培训</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4.85</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4.85</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2050803</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培训支出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4.85</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4.85</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207</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文化旅游体育与传媒支出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61.20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61.20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20701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文化和旅游</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61.20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61.20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2070109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群众文化</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58.20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58.20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2070199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其他文化和旅游支出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社会保障和就业支出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1,342.08</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1,342.08</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人力资源和社会保障管理事务</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131.74</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131.74</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2080150</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事业运行</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131.74</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131.74</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20805</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行政事业单位养老支出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272.15</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272.15</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2080505</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机关事业单位基本养老保险缴费支出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117.09</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117.09</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2080506</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机关事业单位职业年金缴费支出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58.54</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58.54</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2080599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其他行政事业单位养老支出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96.52</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96.52</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20808</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抚恤</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305.03</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305.03</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2080801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死亡抚恤</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20.14</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20.14</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2080802</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伤残抚恤</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30.87</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30.87</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2080803</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在乡复员、退伍军人生活补助</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161.63</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161.63</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2080805</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义务兵优待</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51.28</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51.28</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2080806</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农村籍退役士兵老年生活补助</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32.96</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32.96</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2080899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其他优抚支出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8.15</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8.15</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20810</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社会福利</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38.25</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38.25</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2081001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儿童福利</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6.90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6.90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2081002</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老年福利</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15.22</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15.22</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2081005</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社会福利事业单位</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16.14</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16.14</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20811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残疾人事业</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72.92</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72.92</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2081105</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残疾人就业</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3.75</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3.75</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2081107</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残疾人生活和护理补贴</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69.17</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69.17</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20821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特困人员救助供养</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404.45</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404.45</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2082101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城市特困人员救助供养支出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126.95</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126.95</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2082102</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农村特困人员救助供养支出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277.50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277.50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20825</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其他生活救助</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38.72</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38.72</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2082502</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其他农村生活救助</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38.72</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38.72</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20828</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退役军人管理事务</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58.82</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58.82</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2082850</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事业运行</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58.82</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58.82</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20899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其他社会保障和就业支出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20.00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20.00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2089999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其他社会保障和就业支出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20.00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20.00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卫生健康支出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74.82</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74.82</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21011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行政事业单位医疗</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74.82</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74.82</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2101101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行政单位医疗</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32.63</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32.63</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2101102</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事业单位医疗</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24.27</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24.27</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2101199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其他行政事业单位医疗支出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17.92</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17.92</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节能环保支出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109.00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109.00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21101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环境保护管理事务</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9.00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9.00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2110199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其他环境保护管理事务支出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9.00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9.00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21103</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污染防治</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100.00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100.00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2110301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大气</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100.00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100.00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212</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城乡社区支出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66.27</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66.27</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21201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城乡社区管理事务</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66.27</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66.27</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2120199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其他城乡社区管理事务支出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66.27</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66.27</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农林水支出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984.75</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984.75</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21301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农业农村</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325.87</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325.87</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2130104</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事业运行</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295.87</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295.87</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2130142</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农村道路建设</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30.00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30.00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21305</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巩固脱贫攻坚成果衔接乡村振兴</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23.62</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23.62</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2130504</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农村基础设施建设</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20.00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20.00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2130599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其他巩固脱贫攻坚成果衔接乡村振兴支出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3.62</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3.62</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21307</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农村综合改革</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595.26</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595.26</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2130701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对村级公益事业建设的补助</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63.30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63.30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2130705</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对村民委员会和村党支部的补助</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531.96</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531.96</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21367</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三峡水库库区基金支出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40.00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40.00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2136701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基础设施建设和经济发展</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40.00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40.00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住房保障支出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99.00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99.00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22102</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住房改革支出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99.00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99.00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2210201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住房公积金</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99.00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99.00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224</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灾害防治及应急管理支出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139.09</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139.09</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22401</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应急管理事务</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139.09</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139.09</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2240108</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应急救援</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33.60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33.60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2240199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其他应急管理支出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105.49</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105.49</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其他支出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41.00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41.00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22960</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彩票公益金安排的支出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41.00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41.00</w:t>
            </w:r>
            <w:r>
              <w:rPr>
                <w:b/>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2296002</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用于社会福利的彩票公益金支出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20.00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20.00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8" w:hRule="atLeast"/>
        </w:trPr>
        <w:tc>
          <w:tcPr>
            <w:tcW w:w="55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2296099</w:t>
            </w:r>
          </w:p>
        </w:tc>
        <w:tc>
          <w:tcPr>
            <w:tcW w:w="103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用于其他社会公益事业的彩票公益金支出</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21.00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21.00</w:t>
            </w: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0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4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47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bl>
    <w:p>
      <w:pPr>
        <w:ind w:left="600" w:hanging="600" w:hangingChars="300"/>
        <w:rPr>
          <w:rFonts w:hint="default" w:cs="宋体"/>
          <w:sz w:val="20"/>
          <w:szCs w:val="20"/>
        </w:rPr>
      </w:pPr>
      <w:r>
        <w:rPr>
          <w:rFonts w:cs="宋体"/>
          <w:sz w:val="20"/>
          <w:szCs w:val="20"/>
        </w:rPr>
        <w:t>备注：1.本表反映部门本年度取得的各项收入情况。</w:t>
      </w:r>
      <w:r>
        <w:rPr>
          <w:rFonts w:cs="宋体"/>
          <w:sz w:val="20"/>
          <w:szCs w:val="20"/>
        </w:rPr>
        <w:br w:type="textWrapping"/>
      </w:r>
      <w:r>
        <w:rPr>
          <w:rFonts w:cs="宋体"/>
          <w:sz w:val="20"/>
          <w:szCs w:val="20"/>
        </w:rPr>
        <w:t>2.本套报表金额单位转换时可能存在尾数误差。</w:t>
      </w:r>
      <w:r>
        <w:rPr>
          <w:rFonts w:cs="宋体"/>
          <w:sz w:val="20"/>
          <w:szCs w:val="20"/>
        </w:rPr>
        <w:br w:type="textWrapping"/>
      </w:r>
      <w:r>
        <w:rPr>
          <w:rFonts w:cs="宋体"/>
          <w:sz w:val="20"/>
          <w:szCs w:val="20"/>
        </w:rPr>
        <w:br w:type="textWrapping"/>
      </w:r>
    </w:p>
    <w:p>
      <w:pPr>
        <w:rPr>
          <w:rFonts w:hint="default" w:cs="宋体"/>
          <w:sz w:val="20"/>
          <w:szCs w:val="20"/>
        </w:rPr>
      </w:pPr>
      <w:r>
        <w:rPr>
          <w:rFonts w:cs="宋体"/>
          <w:sz w:val="20"/>
          <w:szCs w:val="20"/>
        </w:rPr>
        <w:br w:type="page"/>
      </w:r>
    </w:p>
    <w:tbl>
      <w:tblPr>
        <w:tblStyle w:val="8"/>
        <w:tblW w:w="5000" w:type="pct"/>
        <w:tblInd w:w="0" w:type="dxa"/>
        <w:tblLayout w:type="autofit"/>
        <w:tblCellMar>
          <w:top w:w="0" w:type="dxa"/>
          <w:left w:w="0" w:type="dxa"/>
          <w:bottom w:w="0" w:type="dxa"/>
          <w:right w:w="0" w:type="dxa"/>
        </w:tblCellMar>
      </w:tblPr>
      <w:tblGrid>
        <w:gridCol w:w="1726"/>
        <w:gridCol w:w="3830"/>
        <w:gridCol w:w="1625"/>
        <w:gridCol w:w="1625"/>
        <w:gridCol w:w="1625"/>
        <w:gridCol w:w="1609"/>
        <w:gridCol w:w="1610"/>
        <w:gridCol w:w="1672"/>
      </w:tblGrid>
      <w:tr>
        <w:tblPrEx>
          <w:tblCellMar>
            <w:top w:w="0" w:type="dxa"/>
            <w:left w:w="0" w:type="dxa"/>
            <w:bottom w:w="0" w:type="dxa"/>
            <w:right w:w="0" w:type="dxa"/>
          </w:tblCellMar>
        </w:tblPrEx>
        <w:trPr>
          <w:trHeight w:val="654" w:hRule="atLeast"/>
        </w:trPr>
        <w:tc>
          <w:tcPr>
            <w:tcW w:w="5000" w:type="pct"/>
            <w:gridSpan w:val="8"/>
            <w:tcBorders>
              <w:top w:val="nil"/>
              <w:left w:val="nil"/>
              <w:bottom w:val="nil"/>
              <w:right w:val="nil"/>
            </w:tcBorders>
            <w:shd w:val="clear" w:color="auto" w:fill="auto"/>
            <w:noWrap/>
            <w:tcMar>
              <w:top w:w="15" w:type="dxa"/>
              <w:left w:w="15" w:type="dxa"/>
              <w:right w:w="15" w:type="dxa"/>
            </w:tcMar>
            <w:vAlign w:val="bottom"/>
          </w:tcPr>
          <w:p>
            <w:pPr>
              <w:jc w:val="center"/>
              <w:textAlignment w:val="bottom"/>
              <w:rPr>
                <w:rFonts w:hint="default" w:cs="宋体"/>
                <w:b/>
                <w:color w:val="000000"/>
                <w:sz w:val="32"/>
                <w:szCs w:val="32"/>
              </w:rPr>
            </w:pPr>
            <w:r>
              <w:rPr>
                <w:rFonts w:cs="宋体"/>
                <w:b/>
                <w:color w:val="000000"/>
                <w:sz w:val="32"/>
                <w:szCs w:val="32"/>
              </w:rPr>
              <w:t>支出决算表</w:t>
            </w:r>
          </w:p>
        </w:tc>
      </w:tr>
      <w:tr>
        <w:tblPrEx>
          <w:tblCellMar>
            <w:top w:w="0" w:type="dxa"/>
            <w:left w:w="0" w:type="dxa"/>
            <w:bottom w:w="0" w:type="dxa"/>
            <w:right w:w="0" w:type="dxa"/>
          </w:tblCellMar>
        </w:tblPrEx>
        <w:trPr>
          <w:trHeight w:val="342" w:hRule="atLeast"/>
        </w:trPr>
        <w:tc>
          <w:tcPr>
            <w:tcW w:w="2230" w:type="pct"/>
            <w:gridSpan w:val="3"/>
            <w:vMerge w:val="restart"/>
            <w:tcBorders>
              <w:top w:val="nil"/>
              <w:left w:val="nil"/>
              <w:right w:val="nil"/>
            </w:tcBorders>
            <w:shd w:val="clear" w:color="auto" w:fill="auto"/>
            <w:noWrap/>
            <w:tcMar>
              <w:top w:w="15" w:type="dxa"/>
              <w:left w:w="15" w:type="dxa"/>
              <w:right w:w="15" w:type="dxa"/>
            </w:tcMar>
            <w:vAlign w:val="bottom"/>
          </w:tcPr>
          <w:p>
            <w:pPr>
              <w:rPr>
                <w:rFonts w:hint="default" w:cs="宋体"/>
                <w:color w:val="000000"/>
                <w:sz w:val="20"/>
                <w:szCs w:val="20"/>
              </w:rPr>
            </w:pPr>
            <w:r>
              <w:rPr>
                <w:rFonts w:cs="宋体"/>
                <w:sz w:val="20"/>
                <w:szCs w:val="20"/>
              </w:rPr>
              <w:t>公开部门</w:t>
            </w:r>
            <w:r>
              <w:rPr>
                <w:rFonts w:cs="宋体"/>
                <w:color w:val="000000"/>
                <w:sz w:val="20"/>
                <w:szCs w:val="20"/>
              </w:rPr>
              <w:t xml:space="preserve">： </w:t>
            </w:r>
            <w:r>
              <w:rPr>
                <w:color w:val="000000"/>
                <w:sz w:val="20"/>
                <w:u w:color="auto"/>
              </w:rPr>
              <w:t xml:space="preserve">重庆市忠县黄金镇人民政府 </w:t>
            </w:r>
          </w:p>
        </w:tc>
        <w:tc>
          <w:tcPr>
            <w:tcW w:w="553"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53"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48"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48"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68" w:type="pct"/>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公开03表</w:t>
            </w:r>
          </w:p>
        </w:tc>
      </w:tr>
      <w:tr>
        <w:tblPrEx>
          <w:tblCellMar>
            <w:top w:w="0" w:type="dxa"/>
            <w:left w:w="0" w:type="dxa"/>
            <w:bottom w:w="0" w:type="dxa"/>
            <w:right w:w="0" w:type="dxa"/>
          </w:tblCellMar>
        </w:tblPrEx>
        <w:trPr>
          <w:trHeight w:val="342" w:hRule="atLeast"/>
        </w:trPr>
        <w:tc>
          <w:tcPr>
            <w:tcW w:w="2230" w:type="pct"/>
            <w:gridSpan w:val="3"/>
            <w:vMerge w:val="continue"/>
            <w:tcBorders>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53"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53"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48"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48"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68" w:type="pct"/>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362" w:hRule="atLeast"/>
        </w:trPr>
        <w:tc>
          <w:tcPr>
            <w:tcW w:w="1677" w:type="pct"/>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jc w:val="center"/>
              <w:textAlignment w:val="bottom"/>
              <w:rPr>
                <w:rFonts w:hint="default" w:cs="宋体"/>
                <w:b/>
                <w:color w:val="000000"/>
                <w:sz w:val="20"/>
                <w:szCs w:val="20"/>
              </w:rPr>
            </w:pPr>
            <w:r>
              <w:rPr>
                <w:rFonts w:cs="宋体"/>
                <w:b/>
                <w:color w:val="000000"/>
                <w:sz w:val="20"/>
                <w:szCs w:val="20"/>
              </w:rPr>
              <w:t>项目</w:t>
            </w:r>
          </w:p>
        </w:tc>
        <w:tc>
          <w:tcPr>
            <w:tcW w:w="553"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本年支出合计</w:t>
            </w:r>
          </w:p>
        </w:tc>
        <w:tc>
          <w:tcPr>
            <w:tcW w:w="553"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基本支出</w:t>
            </w:r>
          </w:p>
        </w:tc>
        <w:tc>
          <w:tcPr>
            <w:tcW w:w="553"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项目支出</w:t>
            </w:r>
          </w:p>
        </w:tc>
        <w:tc>
          <w:tcPr>
            <w:tcW w:w="548"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上缴上级支出</w:t>
            </w:r>
          </w:p>
        </w:tc>
        <w:tc>
          <w:tcPr>
            <w:tcW w:w="548"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经营支出</w:t>
            </w:r>
          </w:p>
        </w:tc>
        <w:tc>
          <w:tcPr>
            <w:tcW w:w="568"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对附属单位补助支出</w:t>
            </w:r>
          </w:p>
        </w:tc>
      </w:tr>
      <w:tr>
        <w:tblPrEx>
          <w:tblCellMar>
            <w:top w:w="0" w:type="dxa"/>
            <w:left w:w="0" w:type="dxa"/>
            <w:bottom w:w="0" w:type="dxa"/>
            <w:right w:w="0" w:type="dxa"/>
          </w:tblCellMar>
        </w:tblPrEx>
        <w:trPr>
          <w:trHeight w:val="338" w:hRule="atLeast"/>
        </w:trPr>
        <w:tc>
          <w:tcPr>
            <w:tcW w:w="586" w:type="pct"/>
            <w:vMerge w:val="restar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功能分类科目编码</w:t>
            </w:r>
          </w:p>
        </w:tc>
        <w:tc>
          <w:tcPr>
            <w:tcW w:w="1091" w:type="pct"/>
            <w:vMerge w:val="restart"/>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项目（按“项”级功能分类科目）</w:t>
            </w: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8" w:hRule="atLeast"/>
        </w:trPr>
        <w:tc>
          <w:tcPr>
            <w:tcW w:w="586"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1091"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8" w:hRule="atLeast"/>
        </w:trPr>
        <w:tc>
          <w:tcPr>
            <w:tcW w:w="586"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1091"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8" w:hRule="atLeast"/>
        </w:trPr>
        <w:tc>
          <w:tcPr>
            <w:tcW w:w="586"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1091"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4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6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62" w:hRule="atLeast"/>
        </w:trPr>
        <w:tc>
          <w:tcPr>
            <w:tcW w:w="1677" w:type="pct"/>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55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3,825.62</w:t>
            </w:r>
            <w:r>
              <w:rPr>
                <w:b/>
                <w:color w:val="000000"/>
                <w:sz w:val="20"/>
                <w:u w:color="auto"/>
              </w:rPr>
              <w:t xml:space="preserve"> </w:t>
            </w:r>
          </w:p>
        </w:tc>
        <w:tc>
          <w:tcPr>
            <w:tcW w:w="55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1,959.73</w:t>
            </w:r>
            <w:r>
              <w:rPr>
                <w:b/>
                <w:color w:val="000000"/>
                <w:sz w:val="20"/>
                <w:u w:color="auto"/>
              </w:rPr>
              <w:t xml:space="preserve"> </w:t>
            </w:r>
          </w:p>
        </w:tc>
        <w:tc>
          <w:tcPr>
            <w:tcW w:w="553"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1,865.89</w:t>
            </w:r>
            <w:r>
              <w:rPr>
                <w:b/>
                <w:color w:val="000000"/>
                <w:sz w:val="20"/>
                <w:u w:color="auto"/>
              </w:rPr>
              <w:t xml:space="preserve"> </w:t>
            </w:r>
          </w:p>
        </w:tc>
        <w:tc>
          <w:tcPr>
            <w:tcW w:w="54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54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568"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一般公共服务支出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903.56</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898.02</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5.54</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20103</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政府办公厅（室）及相关机构事务</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903.56</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898.02</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5.54</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2010301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行政运行</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898.02</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898.02</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2010399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其他政府办公厅（室）及相关机构事务支出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5.54</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5.54</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205</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教育支出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4.85</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4.85</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20508</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进修及培训</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4.85</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4.85</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2050803</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培训支出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4.85</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4.85</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207</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文化旅游体育与传媒支出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61.20</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58.20</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3.00</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20701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文化和旅游</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61.20</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58.20</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3.00</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2070109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群众文化</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58.20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58.20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2070199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其他文化和旅游支出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3.00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3.00</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社会保障和就业支出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1,342.08</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462.71</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879.37</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人力资源和社会保障管理事务</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131.74</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131.74</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2080150</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事业运行</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131.74</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131.74</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20805</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行政事业单位养老支出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272.15</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272.15</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2080505</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机关事业单位基本养老保险缴费支出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117.09</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117.09</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2080506</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机关事业单位职业年金缴费支出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58.54</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58.54</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2080599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其他行政事业单位养老支出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96.52</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96.52</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20808</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抚恤</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305.03</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305.03</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死亡抚恤</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20.14</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20.14</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2080802</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伤残抚恤</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30.87</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30.87</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2080803</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在乡复员、退伍军人生活补助</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161.63</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161.63</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2080805</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义务兵优待</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51.28</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51.28</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2080806</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农村籍退役士兵老年生活补助</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32.96</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32.96</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2080899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其他优抚支出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8.15</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8.15</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20810</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社会福利</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38.25</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38.25</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2081001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儿童福利</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6.90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6.90</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2081002</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老年福利</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15.22</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15.22</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2081005</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社会福利事业单位</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16.14</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16.14</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20811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残疾人事业</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72.92</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72.92</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2081105</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残疾人就业</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3.75</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3.75</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2081107</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残疾人生活和护理补贴</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69.17</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69.17</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20821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特困人员救助供养</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404.45</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404.45</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2082101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城市特困人员救助供养支出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126.95</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126.95</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2082102</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农村特困人员救助供养支出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277.50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277.50</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20825</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其他生活救助</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38.72</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38.72</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2082502</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其他农村生活救助</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38.72</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38.72</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20828</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退役军人管理事务</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58.82</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58.82</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2082850</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事业运行</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58.82</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58.82</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20899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其他社会保障和就业支出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20.00</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20.00</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2089999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其他社会保障和就业支出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20.00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20.00</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卫生健康支出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74.82</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74.82</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21011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行政事业单位医疗</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74.82</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74.82</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行政单位医疗</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32.63</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32.63</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2101102</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事业单位医疗</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24.27</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24.27</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2101199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其他行政事业单位医疗支出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17.92</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17.92</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节能环保支出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109.00</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109.00</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21101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环境保护管理事务</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9.00</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9.00</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2110199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其他环境保护管理事务支出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9.00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9.00</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21103</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污染防治</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100.00</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100.00</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2110301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大气</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100.00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100.00</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212</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城乡社区支出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66.27</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66.27</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21201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城乡社区管理事务</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66.27</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66.27</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2120199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其他城乡社区管理事务支出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66.27</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66.27</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农林水支出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984.75</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295.87</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688.88</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农业农村</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325.87</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295.87</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30.00</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2130104</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事业运行</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295.87</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295.87</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2130142</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农村道路建设</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30.00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30.00</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21305</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巩固脱贫攻坚成果衔接乡村振兴</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23.62</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23.62</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2130504</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农村基础设施建设</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20.00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20.00</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2130599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其他巩固脱贫攻坚成果衔接乡村振兴支出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3.62</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3.62</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21307</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农村综合改革</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595.26</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595.26</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2130701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对村级公益事业建设的补助</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63.30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63.30</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2130705</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对村民委员会和村党支部的补助</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531.96</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531.96</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21367</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三峡水库库区基金支出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40.00</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40.00</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2136701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基础设施建设和经济发展</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40.00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40.00</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住房保障支出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99.00</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99.00</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22102</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住房改革支出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99.00</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99.00</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2210201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住房公积金</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99.00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99.00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224</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灾害防治及应急管理支出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139.09</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139.09</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22401</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应急管理事务</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139.09</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139.09</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2240108</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应急救援</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33.60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33.60</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2240199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其他应急管理支出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105.49</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105.49</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其他支出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41.00</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41.00</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22960</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彩票公益金安排的支出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41.00</w:t>
            </w:r>
            <w:r>
              <w:rPr>
                <w:b/>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b/>
                <w:color w:val="000000"/>
                <w:sz w:val="20"/>
                <w:szCs w:val="20"/>
              </w:rPr>
              <w:t>41.00</w:t>
            </w:r>
            <w:r>
              <w:rPr>
                <w:b/>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2296002</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用于社会福利的彩票公益金支出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20.00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20.00</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82" w:hRule="atLeast"/>
        </w:trPr>
        <w:tc>
          <w:tcPr>
            <w:tcW w:w="58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2296099</w:t>
            </w:r>
          </w:p>
        </w:tc>
        <w:tc>
          <w:tcPr>
            <w:tcW w:w="109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用于其他社会公益事业的彩票公益金支出</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21.00</w:t>
            </w: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5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rFonts w:cs="宋体"/>
                <w:color w:val="000000"/>
                <w:sz w:val="20"/>
                <w:szCs w:val="20"/>
              </w:rPr>
              <w:t>21.00</w:t>
            </w: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c>
          <w:tcPr>
            <w:tcW w:w="56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color w:val="000000"/>
                <w:sz w:val="20"/>
                <w:szCs w:val="20"/>
              </w:rPr>
            </w:pPr>
            <w:r>
              <w:rPr>
                <w:color w:val="000000"/>
                <w:sz w:val="20"/>
                <w:u w:color="auto"/>
              </w:rPr>
              <w:t xml:space="preserve"> </w:t>
            </w:r>
          </w:p>
        </w:tc>
      </w:tr>
    </w:tbl>
    <w:p>
      <w:pPr>
        <w:rPr>
          <w:rFonts w:hint="default" w:cs="宋体"/>
          <w:sz w:val="20"/>
          <w:szCs w:val="20"/>
        </w:rPr>
      </w:pPr>
      <w:r>
        <w:rPr>
          <w:rFonts w:cs="宋体"/>
          <w:sz w:val="20"/>
          <w:szCs w:val="20"/>
        </w:rPr>
        <w:t>备注：1.本表反映部门本年度各项支出情况。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p>
    <w:p>
      <w:pPr>
        <w:rPr>
          <w:rFonts w:hint="default" w:cs="宋体"/>
          <w:sz w:val="21"/>
          <w:szCs w:val="21"/>
        </w:rPr>
      </w:pPr>
      <w:r>
        <w:rPr>
          <w:rFonts w:cs="宋体"/>
          <w:sz w:val="21"/>
          <w:szCs w:val="21"/>
        </w:rPr>
        <w:br w:type="page"/>
      </w:r>
    </w:p>
    <w:p>
      <w:pPr>
        <w:rPr>
          <w:rFonts w:hint="default" w:cs="宋体"/>
          <w:sz w:val="21"/>
          <w:szCs w:val="21"/>
        </w:rPr>
      </w:pPr>
    </w:p>
    <w:tbl>
      <w:tblPr>
        <w:tblStyle w:val="8"/>
        <w:tblW w:w="4790" w:type="pct"/>
        <w:tblInd w:w="0" w:type="dxa"/>
        <w:tblLayout w:type="autofit"/>
        <w:tblCellMar>
          <w:top w:w="0" w:type="dxa"/>
          <w:left w:w="0" w:type="dxa"/>
          <w:bottom w:w="0" w:type="dxa"/>
          <w:right w:w="0" w:type="dxa"/>
        </w:tblCellMar>
      </w:tblPr>
      <w:tblGrid>
        <w:gridCol w:w="2967"/>
        <w:gridCol w:w="1521"/>
        <w:gridCol w:w="3179"/>
        <w:gridCol w:w="1694"/>
        <w:gridCol w:w="1694"/>
        <w:gridCol w:w="1694"/>
        <w:gridCol w:w="1929"/>
      </w:tblGrid>
      <w:tr>
        <w:tblPrEx>
          <w:tblCellMar>
            <w:top w:w="0" w:type="dxa"/>
            <w:left w:w="0" w:type="dxa"/>
            <w:bottom w:w="0" w:type="dxa"/>
            <w:right w:w="0" w:type="dxa"/>
          </w:tblCellMar>
        </w:tblPrEx>
        <w:trPr>
          <w:trHeight w:val="90" w:hRule="atLeast"/>
        </w:trPr>
        <w:tc>
          <w:tcPr>
            <w:tcW w:w="5000" w:type="pct"/>
            <w:gridSpan w:val="7"/>
            <w:tcBorders>
              <w:top w:val="nil"/>
              <w:left w:val="nil"/>
              <w:bottom w:val="nil"/>
              <w:right w:val="nil"/>
            </w:tcBorders>
            <w:shd w:val="clear" w:color="auto" w:fill="auto"/>
            <w:noWrap/>
            <w:tcMar>
              <w:top w:w="15" w:type="dxa"/>
              <w:left w:w="15" w:type="dxa"/>
              <w:right w:w="15" w:type="dxa"/>
            </w:tcMar>
            <w:vAlign w:val="bottom"/>
          </w:tcPr>
          <w:p>
            <w:pPr>
              <w:spacing w:line="400" w:lineRule="exact"/>
              <w:jc w:val="center"/>
              <w:textAlignment w:val="bottom"/>
              <w:rPr>
                <w:rFonts w:hint="default" w:cs="宋体"/>
                <w:b/>
                <w:color w:val="000000"/>
                <w:sz w:val="32"/>
                <w:szCs w:val="32"/>
              </w:rPr>
            </w:pPr>
            <w:r>
              <w:rPr>
                <w:rFonts w:cs="宋体"/>
                <w:b/>
                <w:color w:val="000000"/>
                <w:sz w:val="32"/>
                <w:szCs w:val="32"/>
              </w:rPr>
              <w:t>财政拨款收入支出决算总表</w:t>
            </w:r>
          </w:p>
        </w:tc>
      </w:tr>
      <w:tr>
        <w:tblPrEx>
          <w:tblCellMar>
            <w:top w:w="0" w:type="dxa"/>
            <w:left w:w="0" w:type="dxa"/>
            <w:bottom w:w="0" w:type="dxa"/>
            <w:right w:w="0" w:type="dxa"/>
          </w:tblCellMar>
        </w:tblPrEx>
        <w:trPr>
          <w:trHeight w:val="90" w:hRule="atLeast"/>
        </w:trPr>
        <w:tc>
          <w:tcPr>
            <w:tcW w:w="2612" w:type="pct"/>
            <w:gridSpan w:val="3"/>
            <w:vMerge w:val="restart"/>
            <w:tcBorders>
              <w:top w:val="nil"/>
              <w:left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r>
              <w:rPr>
                <w:rFonts w:cs="宋体"/>
                <w:sz w:val="20"/>
                <w:szCs w:val="20"/>
              </w:rPr>
              <w:t>公开部门</w:t>
            </w:r>
            <w:r>
              <w:rPr>
                <w:rFonts w:cs="宋体"/>
                <w:color w:val="000000"/>
                <w:sz w:val="20"/>
                <w:szCs w:val="20"/>
              </w:rPr>
              <w:t xml:space="preserve">： </w:t>
            </w:r>
            <w:r>
              <w:rPr>
                <w:color w:val="000000"/>
                <w:sz w:val="20"/>
                <w:u w:color="auto"/>
              </w:rPr>
              <w:t>重庆市忠县黄金镇人民政府</w:t>
            </w:r>
          </w:p>
        </w:tc>
        <w:tc>
          <w:tcPr>
            <w:tcW w:w="577"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577"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577"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657" w:type="pct"/>
            <w:tcBorders>
              <w:top w:val="nil"/>
              <w:left w:val="nil"/>
              <w:bottom w:val="nil"/>
              <w:right w:val="nil"/>
            </w:tcBorders>
            <w:shd w:val="clear" w:color="auto" w:fill="auto"/>
            <w:noWrap/>
            <w:tcMar>
              <w:top w:w="15" w:type="dxa"/>
              <w:left w:w="15" w:type="dxa"/>
              <w:right w:w="15" w:type="dxa"/>
            </w:tcMar>
            <w:vAlign w:val="bottom"/>
          </w:tcPr>
          <w:p>
            <w:pPr>
              <w:spacing w:line="240" w:lineRule="exact"/>
              <w:jc w:val="right"/>
              <w:textAlignment w:val="bottom"/>
              <w:rPr>
                <w:rFonts w:hint="default" w:cs="宋体"/>
                <w:color w:val="000000"/>
                <w:sz w:val="20"/>
                <w:szCs w:val="20"/>
              </w:rPr>
            </w:pPr>
            <w:r>
              <w:rPr>
                <w:rFonts w:cs="宋体"/>
                <w:color w:val="000000"/>
                <w:sz w:val="20"/>
                <w:szCs w:val="20"/>
              </w:rPr>
              <w:t>公开04表</w:t>
            </w:r>
          </w:p>
        </w:tc>
      </w:tr>
      <w:tr>
        <w:tblPrEx>
          <w:tblCellMar>
            <w:top w:w="0" w:type="dxa"/>
            <w:left w:w="0" w:type="dxa"/>
            <w:bottom w:w="0" w:type="dxa"/>
            <w:right w:w="0" w:type="dxa"/>
          </w:tblCellMar>
        </w:tblPrEx>
        <w:trPr>
          <w:trHeight w:val="90" w:hRule="atLeast"/>
        </w:trPr>
        <w:tc>
          <w:tcPr>
            <w:tcW w:w="2612" w:type="pct"/>
            <w:gridSpan w:val="3"/>
            <w:vMerge w:val="continue"/>
            <w:tcBorders>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577"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577"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577"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657" w:type="pct"/>
            <w:tcBorders>
              <w:top w:val="nil"/>
              <w:left w:val="nil"/>
              <w:bottom w:val="nil"/>
              <w:right w:val="nil"/>
            </w:tcBorders>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90" w:hRule="atLeast"/>
        </w:trPr>
        <w:tc>
          <w:tcPr>
            <w:tcW w:w="1529" w:type="pct"/>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收     入</w:t>
            </w:r>
          </w:p>
        </w:tc>
        <w:tc>
          <w:tcPr>
            <w:tcW w:w="3471" w:type="pct"/>
            <w:gridSpan w:val="5"/>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支     出</w:t>
            </w:r>
          </w:p>
        </w:tc>
      </w:tr>
      <w:tr>
        <w:tblPrEx>
          <w:tblCellMar>
            <w:top w:w="0" w:type="dxa"/>
            <w:left w:w="0" w:type="dxa"/>
            <w:bottom w:w="0" w:type="dxa"/>
            <w:right w:w="0" w:type="dxa"/>
          </w:tblCellMar>
        </w:tblPrEx>
        <w:trPr>
          <w:trHeight w:val="90" w:hRule="atLeast"/>
        </w:trPr>
        <w:tc>
          <w:tcPr>
            <w:tcW w:w="1011"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项目</w:t>
            </w:r>
          </w:p>
        </w:tc>
        <w:tc>
          <w:tcPr>
            <w:tcW w:w="518"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决算数</w:t>
            </w:r>
          </w:p>
        </w:tc>
        <w:tc>
          <w:tcPr>
            <w:tcW w:w="1083"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功能分类科目</w:t>
            </w:r>
          </w:p>
        </w:tc>
        <w:tc>
          <w:tcPr>
            <w:tcW w:w="2388" w:type="pct"/>
            <w:gridSpan w:val="4"/>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决算数</w:t>
            </w:r>
          </w:p>
        </w:tc>
      </w:tr>
      <w:tr>
        <w:tblPrEx>
          <w:tblCellMar>
            <w:top w:w="0" w:type="dxa"/>
            <w:left w:w="0" w:type="dxa"/>
            <w:bottom w:w="0" w:type="dxa"/>
            <w:right w:w="0" w:type="dxa"/>
          </w:tblCellMar>
        </w:tblPrEx>
        <w:trPr>
          <w:trHeight w:val="90" w:hRule="atLeast"/>
        </w:trPr>
        <w:tc>
          <w:tcPr>
            <w:tcW w:w="101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518"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1083"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小计</w:t>
            </w:r>
          </w:p>
        </w:tc>
        <w:tc>
          <w:tcPr>
            <w:tcW w:w="577" w:type="pc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一般公共预算财政拨款</w:t>
            </w:r>
          </w:p>
        </w:tc>
        <w:tc>
          <w:tcPr>
            <w:tcW w:w="577" w:type="pc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政府性基金预算财政拨款</w:t>
            </w:r>
          </w:p>
        </w:tc>
        <w:tc>
          <w:tcPr>
            <w:tcW w:w="657" w:type="pc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国有资本经营预算财政拨款</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一、一般公共预算财政拨款</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3,744.62</w:t>
            </w: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一、一般公共服务支出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903.56</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903.56</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二、政府性基金预算财政拨款</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81.00</w:t>
            </w: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二、外交支出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三、国有资本经营预算财政拨款</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三、国防支出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四、公共安全支出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五、教育支出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4.85</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4.85</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六、科学技术支出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七、文化旅游体育与传媒支出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61.20</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61.20</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八、社会保障和就业支出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1,342.08</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1,342.08</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九、卫生健康支出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74.82</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74.82</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十、节能环保支出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109.00</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109.00</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十一、城乡社区支出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66.27</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66.27</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十二、农林水支出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984.75</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944.75</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40.00</w:t>
            </w: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十三、交通运输支出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十四、资源勘探工业信息等支出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十五、商业服务业等支出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十六、金融支出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十七、援助其他地区支出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十八、自然资源海洋气象等支出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十九、住房保障支出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99.00</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99.00</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二十、粮油物资储备支出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二十一、国有资本经营预算支出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二十二、灾害防治及应急管理支出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139.09</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139.09</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二十三、其他支出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41.00</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41.00</w:t>
            </w: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二十四、债务还本支出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二十五、债务付息支出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spacing w:line="200" w:lineRule="exact"/>
              <w:rPr>
                <w:rFonts w:hint="default" w:cs="宋体"/>
                <w:color w:val="000000"/>
                <w:sz w:val="18"/>
                <w:szCs w:val="18"/>
              </w:rPr>
            </w:pP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二十六、抗疫特别国债安排的支出</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本年收入合计</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3,825.62</w:t>
            </w: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本年支出合计</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3,825.62</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3,744.62</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81.00</w:t>
            </w: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年初财政拨款结转和结余</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年末财政拨款结转和结余</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一般公共预算财政拨款</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spacing w:line="200" w:lineRule="exac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政府性基金预算财政拨款</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rPr>
                <w:rFonts w:hint="default" w:cs="宋体"/>
                <w:b/>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国有资本经营预算财政拨款</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rPr>
                <w:rFonts w:hint="default" w:cs="宋体"/>
                <w:b/>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101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总计</w:t>
            </w:r>
          </w:p>
        </w:tc>
        <w:tc>
          <w:tcPr>
            <w:tcW w:w="51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3,825.62</w:t>
            </w:r>
            <w:r>
              <w:rPr>
                <w:color w:val="000000"/>
                <w:sz w:val="18"/>
                <w:u w:color="auto"/>
              </w:rPr>
              <w:t xml:space="preserve"> </w:t>
            </w:r>
          </w:p>
        </w:tc>
        <w:tc>
          <w:tcPr>
            <w:tcW w:w="108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总计</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3,825.62</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3,744.62</w:t>
            </w:r>
            <w:r>
              <w:rPr>
                <w:color w:val="000000"/>
                <w:sz w:val="18"/>
                <w:u w:color="auto"/>
              </w:rPr>
              <w:t xml:space="preserve"> </w:t>
            </w:r>
          </w:p>
        </w:tc>
        <w:tc>
          <w:tcPr>
            <w:tcW w:w="5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81.00</w:t>
            </w:r>
            <w:r>
              <w:rPr>
                <w:color w:val="000000"/>
                <w:sz w:val="18"/>
                <w:u w:color="auto"/>
              </w:rPr>
              <w:t xml:space="preserve"> </w:t>
            </w:r>
          </w:p>
        </w:tc>
        <w:tc>
          <w:tcPr>
            <w:tcW w:w="65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bl>
    <w:p>
      <w:pPr>
        <w:spacing w:line="240" w:lineRule="exact"/>
        <w:rPr>
          <w:rFonts w:hint="default" w:cs="宋体"/>
          <w:sz w:val="20"/>
          <w:szCs w:val="20"/>
        </w:rPr>
      </w:pPr>
      <w:r>
        <w:rPr>
          <w:rFonts w:cs="宋体"/>
          <w:sz w:val="20"/>
          <w:szCs w:val="20"/>
        </w:rPr>
        <w:t>备注：1.本表反映部门本年度一般公共预算财政拨款、政府性基金预算财政拨款及国有资本经营预算财政拨款的总收支和年末结转结余情况。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r>
        <w:rPr>
          <w:rFonts w:cs="宋体"/>
          <w:sz w:val="21"/>
          <w:szCs w:val="21"/>
        </w:rPr>
        <w:br w:type="page"/>
      </w:r>
    </w:p>
    <w:tbl>
      <w:tblPr>
        <w:tblStyle w:val="8"/>
        <w:tblW w:w="5000" w:type="pct"/>
        <w:tblInd w:w="0" w:type="dxa"/>
        <w:tblLayout w:type="autofit"/>
        <w:tblCellMar>
          <w:top w:w="0" w:type="dxa"/>
          <w:left w:w="0" w:type="dxa"/>
          <w:bottom w:w="0" w:type="dxa"/>
          <w:right w:w="0" w:type="dxa"/>
        </w:tblCellMar>
      </w:tblPr>
      <w:tblGrid>
        <w:gridCol w:w="1777"/>
        <w:gridCol w:w="3830"/>
        <w:gridCol w:w="3233"/>
        <w:gridCol w:w="3233"/>
        <w:gridCol w:w="3249"/>
      </w:tblGrid>
      <w:tr>
        <w:tblPrEx>
          <w:tblCellMar>
            <w:top w:w="0" w:type="dxa"/>
            <w:left w:w="0" w:type="dxa"/>
            <w:bottom w:w="0" w:type="dxa"/>
            <w:right w:w="0" w:type="dxa"/>
          </w:tblCellMar>
        </w:tblPrEx>
        <w:trPr>
          <w:trHeight w:val="510" w:hRule="atLeast"/>
        </w:trPr>
        <w:tc>
          <w:tcPr>
            <w:tcW w:w="5000" w:type="pct"/>
            <w:gridSpan w:val="5"/>
            <w:tcBorders>
              <w:top w:val="nil"/>
              <w:left w:val="nil"/>
              <w:bottom w:val="nil"/>
              <w:right w:val="nil"/>
            </w:tcBorders>
            <w:shd w:val="clear" w:color="auto" w:fill="auto"/>
            <w:noWrap/>
            <w:tcMar>
              <w:top w:w="15" w:type="dxa"/>
              <w:left w:w="15" w:type="dxa"/>
              <w:right w:w="15" w:type="dxa"/>
            </w:tcMar>
            <w:vAlign w:val="bottom"/>
          </w:tcPr>
          <w:p>
            <w:pPr>
              <w:jc w:val="center"/>
              <w:textAlignment w:val="bottom"/>
              <w:rPr>
                <w:rFonts w:hint="default" w:cs="宋体"/>
                <w:b/>
                <w:color w:val="000000"/>
                <w:sz w:val="32"/>
                <w:szCs w:val="32"/>
              </w:rPr>
            </w:pPr>
            <w:r>
              <w:rPr>
                <w:rFonts w:cs="宋体"/>
                <w:b/>
                <w:color w:val="000000"/>
                <w:sz w:val="32"/>
                <w:szCs w:val="32"/>
              </w:rPr>
              <w:t>一般公共预算财政拨款支出决算表</w:t>
            </w:r>
          </w:p>
        </w:tc>
      </w:tr>
      <w:tr>
        <w:tblPrEx>
          <w:tblCellMar>
            <w:top w:w="0" w:type="dxa"/>
            <w:left w:w="0" w:type="dxa"/>
            <w:bottom w:w="0" w:type="dxa"/>
            <w:right w:w="0" w:type="dxa"/>
          </w:tblCellMar>
        </w:tblPrEx>
        <w:trPr>
          <w:trHeight w:val="255" w:hRule="atLeast"/>
        </w:trPr>
        <w:tc>
          <w:tcPr>
            <w:tcW w:w="2837" w:type="pct"/>
            <w:gridSpan w:val="3"/>
            <w:vMerge w:val="restart"/>
            <w:tcBorders>
              <w:top w:val="nil"/>
              <w:left w:val="nil"/>
              <w:right w:val="nil"/>
            </w:tcBorders>
            <w:shd w:val="clear" w:color="auto" w:fill="auto"/>
            <w:noWrap/>
            <w:tcMar>
              <w:top w:w="15" w:type="dxa"/>
              <w:left w:w="15" w:type="dxa"/>
              <w:right w:w="15" w:type="dxa"/>
            </w:tcMar>
            <w:vAlign w:val="bottom"/>
          </w:tcPr>
          <w:p>
            <w:pPr>
              <w:rPr>
                <w:rFonts w:hint="default" w:cs="宋体"/>
                <w:color w:val="000000"/>
                <w:sz w:val="20"/>
                <w:szCs w:val="20"/>
              </w:rPr>
            </w:pPr>
            <w:r>
              <w:rPr>
                <w:rFonts w:cs="宋体"/>
                <w:sz w:val="20"/>
                <w:szCs w:val="20"/>
              </w:rPr>
              <w:t>公开部门</w:t>
            </w:r>
            <w:r>
              <w:rPr>
                <w:rFonts w:cs="宋体"/>
                <w:color w:val="000000"/>
                <w:sz w:val="20"/>
                <w:szCs w:val="20"/>
              </w:rPr>
              <w:t xml:space="preserve">： </w:t>
            </w:r>
            <w:r>
              <w:rPr>
                <w:color w:val="000000"/>
                <w:sz w:val="20"/>
                <w:u w:color="auto"/>
              </w:rPr>
              <w:t>重庆市忠县黄金镇人民政府</w:t>
            </w:r>
          </w:p>
        </w:tc>
        <w:tc>
          <w:tcPr>
            <w:tcW w:w="1079"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084" w:type="pct"/>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公开05表</w:t>
            </w:r>
          </w:p>
        </w:tc>
      </w:tr>
      <w:tr>
        <w:tblPrEx>
          <w:tblCellMar>
            <w:top w:w="0" w:type="dxa"/>
            <w:left w:w="0" w:type="dxa"/>
            <w:bottom w:w="0" w:type="dxa"/>
            <w:right w:w="0" w:type="dxa"/>
          </w:tblCellMar>
        </w:tblPrEx>
        <w:trPr>
          <w:trHeight w:val="285" w:hRule="atLeast"/>
        </w:trPr>
        <w:tc>
          <w:tcPr>
            <w:tcW w:w="2837" w:type="pct"/>
            <w:gridSpan w:val="3"/>
            <w:vMerge w:val="continue"/>
            <w:tcBorders>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079"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084" w:type="pct"/>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308" w:hRule="atLeast"/>
        </w:trPr>
        <w:tc>
          <w:tcPr>
            <w:tcW w:w="1758" w:type="pct"/>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w:t>
            </w:r>
          </w:p>
        </w:tc>
        <w:tc>
          <w:tcPr>
            <w:tcW w:w="3242" w:type="pct"/>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本年支出</w:t>
            </w:r>
          </w:p>
        </w:tc>
      </w:tr>
      <w:tr>
        <w:tblPrEx>
          <w:tblCellMar>
            <w:top w:w="0" w:type="dxa"/>
            <w:left w:w="0" w:type="dxa"/>
            <w:bottom w:w="0" w:type="dxa"/>
            <w:right w:w="0" w:type="dxa"/>
          </w:tblCellMar>
        </w:tblPrEx>
        <w:trPr>
          <w:trHeight w:val="326" w:hRule="atLeast"/>
        </w:trPr>
        <w:tc>
          <w:tcPr>
            <w:tcW w:w="604"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功能分类科目编码</w:t>
            </w:r>
          </w:p>
        </w:tc>
        <w:tc>
          <w:tcPr>
            <w:tcW w:w="1154"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项目（按“项”级功能分类科目）</w:t>
            </w:r>
          </w:p>
        </w:tc>
        <w:tc>
          <w:tcPr>
            <w:tcW w:w="1079"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1079"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基本支出</w:t>
            </w:r>
          </w:p>
        </w:tc>
        <w:tc>
          <w:tcPr>
            <w:tcW w:w="1084"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项目支出</w:t>
            </w:r>
          </w:p>
        </w:tc>
      </w:tr>
      <w:tr>
        <w:tblPrEx>
          <w:tblCellMar>
            <w:top w:w="0" w:type="dxa"/>
            <w:left w:w="0" w:type="dxa"/>
            <w:bottom w:w="0" w:type="dxa"/>
            <w:right w:w="0" w:type="dxa"/>
          </w:tblCellMar>
        </w:tblPrEx>
        <w:trPr>
          <w:trHeight w:val="326" w:hRule="atLeast"/>
        </w:trPr>
        <w:tc>
          <w:tcPr>
            <w:tcW w:w="604"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5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07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07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08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615" w:hRule="atLeast"/>
        </w:trPr>
        <w:tc>
          <w:tcPr>
            <w:tcW w:w="604"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5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07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07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08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08" w:hRule="atLeast"/>
        </w:trPr>
        <w:tc>
          <w:tcPr>
            <w:tcW w:w="1758" w:type="pct"/>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3,744.62</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1,959.73</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1,784.89</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一般公共服务支出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903.56</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898.02</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5.54</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20103</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政府办公厅（室）及相关机构事务</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903.56</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898.02</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5.54</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2010301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行政运行</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898.02</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898.02</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2010399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其他政府办公厅（室）及相关机构事务支出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5.54</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5.54</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205</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教育支出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4.85</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4.85</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20508</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进修及培训</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4.85</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4.85</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2050803</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培训支出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4.85</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4.85</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207</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文化旅游体育与传媒支出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61.20</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58.20</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3.00</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20701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文化和旅游</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61.20</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58.20</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3.00</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2070109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群众文化</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58.20</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58.20</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2070199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其他文化和旅游支出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3.00</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3.00</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社会保障和就业支出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1,342.08</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462.71</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879.37</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人力资源和社会保障管理事务</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131.74</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131.74</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2080150</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事业运行</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131.74</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131.74</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20805</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行政事业单位养老支出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272.15</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272.15</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2080505</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机关事业单位基本养老保险缴费支出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117.09</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117.09</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2080506</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机关事业单位职业年金缴费支出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58.54</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58.54</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2080599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其他行政事业单位养老支出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96.52</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96.52</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20808</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抚恤</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305.03</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305.03</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死亡抚恤</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20.14</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20.14</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2080802</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伤残抚恤</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30.87</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30.87</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2080803</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在乡复员、退伍军人生活补助</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161.63</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161.63</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2080805</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义务兵优待</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51.28</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51.28</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2080806</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农村籍退役士兵老年生活补助</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32.96</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32.96</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2080899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其他优抚支出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8.15</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8.15</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20810</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社会福利</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38.25</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38.25</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2081001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儿童福利</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6.90</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6.90</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2081002</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老年福利</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15.22</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15.22</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2081005</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社会福利事业单位</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16.14</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16.14</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20811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残疾人事业</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72.92</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72.92</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2081105</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残疾人就业</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3.75</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3.75</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2081107</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残疾人生活和护理补贴</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69.17</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69.17</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20821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特困人员救助供养</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404.45</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404.45</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2082101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城市特困人员救助供养支出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126.95</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126.95</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2082102</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农村特困人员救助供养支出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277.50</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277.50</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20825</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其他生活救助</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38.72</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38.72</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2082502</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其他农村生活救助</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38.72</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38.72</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20828</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退役军人管理事务</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58.82</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58.82</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2082850</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事业运行</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58.82</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58.82</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20899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其他社会保障和就业支出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20.00</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20.00</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2089999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其他社会保障和就业支出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20.00</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20.00</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卫生健康支出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74.82</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74.82</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21011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行政事业单位医疗</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74.82</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74.82</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行政单位医疗</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32.63</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32.63</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2101102</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事业单位医疗</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24.27</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24.27</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2101199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其他行政事业单位医疗支出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17.92</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17.92</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节能环保支出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109.00</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109.00</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21101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环境保护管理事务</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9.00</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9.00</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2110199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其他环境保护管理事务支出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9.00</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9.00</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21103</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污染防治</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100.00</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100.00</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2110301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大气</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100.00</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100.00</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212</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城乡社区支出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66.27</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66.27</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21201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城乡社区管理事务</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66.27</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66.27</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2120199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其他城乡社区管理事务支出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66.27</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66.27</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农林水支出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944.75</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295.87</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648.88</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农业农村</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325.87</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295.87</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30.00</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2130104</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事业运行</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295.87</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295.87</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2130142</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农村道路建设</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30.00</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30.00</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21305</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巩固脱贫攻坚成果衔接乡村振兴</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23.62</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23.62</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2130504</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农村基础设施建设</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20.00</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20.00</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2130599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其他巩固脱贫攻坚成果衔接乡村振兴支出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3.62</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3.62</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21307</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农村综合改革</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595.26</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595.26</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2130701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对村级公益事业建设的补助</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63.30</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63.30</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2130705</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对村民委员会和村党支部的补助</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531.96</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531.96</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住房保障支出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99.00</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99.00</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22102</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住房改革支出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99.00</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99.00</w:t>
            </w:r>
            <w:r>
              <w:rPr>
                <w:b/>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2210201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住房公积金</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99.00</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99.00</w:t>
            </w: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224</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灾害防治及应急管理支出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139.09</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139.09</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22401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b/>
                <w:color w:val="000000"/>
                <w:sz w:val="20"/>
                <w:szCs w:val="20"/>
              </w:rPr>
              <w:t>应急管理事务</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139.09</w:t>
            </w:r>
            <w:r>
              <w:rPr>
                <w:b/>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139.09</w:t>
            </w:r>
            <w:r>
              <w:rPr>
                <w:b/>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2240108</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应急救援</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33.60</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33.60</w:t>
            </w:r>
            <w:r>
              <w:rPr>
                <w:color w:val="000000"/>
                <w:sz w:val="20"/>
                <w:u w:color="auto"/>
              </w:rPr>
              <w:t xml:space="preserve"> </w:t>
            </w:r>
          </w:p>
        </w:tc>
      </w:tr>
      <w:tr>
        <w:tblPrEx>
          <w:tblCellMar>
            <w:top w:w="0" w:type="dxa"/>
            <w:left w:w="0" w:type="dxa"/>
            <w:bottom w:w="0" w:type="dxa"/>
            <w:right w:w="0" w:type="dxa"/>
          </w:tblCellMar>
        </w:tblPrEx>
        <w:trPr>
          <w:trHeight w:val="308" w:hRule="atLeast"/>
        </w:trPr>
        <w:tc>
          <w:tcPr>
            <w:tcW w:w="60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2240199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textAlignment w:val="center"/>
              <w:rPr>
                <w:rFonts w:hint="default" w:cs="宋体"/>
                <w:color w:val="000000"/>
                <w:sz w:val="20"/>
                <w:szCs w:val="20"/>
              </w:rPr>
            </w:pPr>
            <w:r>
              <w:rPr>
                <w:rFonts w:cs="宋体"/>
                <w:color w:val="000000"/>
                <w:sz w:val="20"/>
                <w:szCs w:val="20"/>
              </w:rPr>
              <w:t>其他应急管理支出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105.49</w:t>
            </w:r>
            <w:r>
              <w:rPr>
                <w:color w:val="000000"/>
                <w:sz w:val="20"/>
                <w:u w:color="auto"/>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108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105.49</w:t>
            </w:r>
            <w:r>
              <w:rPr>
                <w:color w:val="000000"/>
                <w:sz w:val="20"/>
                <w:u w:color="auto"/>
              </w:rPr>
              <w:t xml:space="preserve"> </w:t>
            </w:r>
          </w:p>
        </w:tc>
      </w:tr>
    </w:tbl>
    <w:p>
      <w:pPr>
        <w:rPr>
          <w:rFonts w:hint="default" w:cs="宋体"/>
          <w:sz w:val="21"/>
          <w:szCs w:val="21"/>
        </w:rPr>
      </w:pPr>
      <w:r>
        <w:rPr>
          <w:rFonts w:cs="宋体"/>
          <w:sz w:val="20"/>
          <w:szCs w:val="20"/>
        </w:rPr>
        <w:t>备注：1.本表反映部门本年度一般公共预算财政拨款支出情况。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p>
    <w:p>
      <w:pPr>
        <w:ind w:firstLine="630" w:firstLineChars="300"/>
        <w:rPr>
          <w:rFonts w:hint="default" w:cs="宋体"/>
          <w:sz w:val="21"/>
          <w:szCs w:val="21"/>
        </w:rPr>
      </w:pPr>
      <w:r>
        <w:rPr>
          <w:rFonts w:cs="宋体"/>
          <w:sz w:val="21"/>
          <w:szCs w:val="21"/>
        </w:rPr>
        <w:br w:type="page"/>
      </w:r>
    </w:p>
    <w:tbl>
      <w:tblPr>
        <w:tblStyle w:val="8"/>
        <w:tblW w:w="4994" w:type="pct"/>
        <w:tblInd w:w="0" w:type="dxa"/>
        <w:tblLayout w:type="fixed"/>
        <w:tblCellMar>
          <w:top w:w="0" w:type="dxa"/>
          <w:left w:w="0" w:type="dxa"/>
          <w:bottom w:w="0" w:type="dxa"/>
          <w:right w:w="0" w:type="dxa"/>
        </w:tblCellMar>
      </w:tblPr>
      <w:tblGrid>
        <w:gridCol w:w="603"/>
        <w:gridCol w:w="2730"/>
        <w:gridCol w:w="1371"/>
        <w:gridCol w:w="833"/>
        <w:gridCol w:w="1916"/>
        <w:gridCol w:w="1650"/>
        <w:gridCol w:w="805"/>
        <w:gridCol w:w="3514"/>
        <w:gridCol w:w="1882"/>
      </w:tblGrid>
      <w:tr>
        <w:tblPrEx>
          <w:tblCellMar>
            <w:top w:w="0" w:type="dxa"/>
            <w:left w:w="0" w:type="dxa"/>
            <w:bottom w:w="0" w:type="dxa"/>
            <w:right w:w="0" w:type="dxa"/>
          </w:tblCellMar>
        </w:tblPrEx>
        <w:trPr>
          <w:trHeight w:val="90" w:hRule="atLeast"/>
        </w:trPr>
        <w:tc>
          <w:tcPr>
            <w:tcW w:w="5000" w:type="pct"/>
            <w:gridSpan w:val="9"/>
            <w:tcBorders>
              <w:top w:val="nil"/>
              <w:left w:val="nil"/>
              <w:bottom w:val="nil"/>
              <w:right w:val="nil"/>
            </w:tcBorders>
            <w:shd w:val="clear" w:color="auto" w:fill="auto"/>
            <w:noWrap/>
            <w:tcMar>
              <w:top w:w="15" w:type="dxa"/>
              <w:left w:w="15" w:type="dxa"/>
              <w:right w:w="15" w:type="dxa"/>
            </w:tcMar>
            <w:vAlign w:val="bottom"/>
          </w:tcPr>
          <w:p>
            <w:pPr>
              <w:spacing w:line="440" w:lineRule="exact"/>
              <w:jc w:val="center"/>
              <w:textAlignment w:val="bottom"/>
              <w:rPr>
                <w:rFonts w:hint="default" w:cs="宋体"/>
                <w:b/>
                <w:color w:val="000000"/>
                <w:sz w:val="32"/>
                <w:szCs w:val="32"/>
              </w:rPr>
            </w:pPr>
            <w:r>
              <w:rPr>
                <w:rFonts w:cs="宋体"/>
                <w:b/>
                <w:color w:val="000000"/>
                <w:sz w:val="32"/>
                <w:szCs w:val="32"/>
              </w:rPr>
              <w:t>一般公共预算财政拨款基本支出决算表</w:t>
            </w:r>
          </w:p>
        </w:tc>
      </w:tr>
      <w:tr>
        <w:tblPrEx>
          <w:tblCellMar>
            <w:top w:w="0" w:type="dxa"/>
            <w:left w:w="0" w:type="dxa"/>
            <w:bottom w:w="0" w:type="dxa"/>
            <w:right w:w="0" w:type="dxa"/>
          </w:tblCellMar>
        </w:tblPrEx>
        <w:trPr>
          <w:trHeight w:val="90" w:hRule="atLeast"/>
        </w:trPr>
        <w:tc>
          <w:tcPr>
            <w:tcW w:w="2435" w:type="pct"/>
            <w:gridSpan w:val="5"/>
            <w:vMerge w:val="restart"/>
            <w:tcBorders>
              <w:top w:val="nil"/>
              <w:left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r>
              <w:rPr>
                <w:rFonts w:cs="宋体"/>
                <w:sz w:val="20"/>
                <w:szCs w:val="20"/>
              </w:rPr>
              <w:t>公开部门</w:t>
            </w:r>
            <w:r>
              <w:rPr>
                <w:rFonts w:cs="宋体"/>
                <w:color w:val="000000"/>
                <w:sz w:val="20"/>
                <w:szCs w:val="20"/>
              </w:rPr>
              <w:t xml:space="preserve">： </w:t>
            </w:r>
            <w:r>
              <w:rPr>
                <w:color w:val="000000"/>
                <w:sz w:val="20"/>
                <w:u w:color="auto"/>
              </w:rPr>
              <w:t>重庆市忠县黄金镇人民政府</w:t>
            </w:r>
          </w:p>
        </w:tc>
        <w:tc>
          <w:tcPr>
            <w:tcW w:w="539"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263"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148"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615" w:type="pct"/>
            <w:tcBorders>
              <w:top w:val="nil"/>
              <w:left w:val="nil"/>
              <w:bottom w:val="nil"/>
              <w:right w:val="nil"/>
            </w:tcBorders>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sz w:val="20"/>
                <w:szCs w:val="20"/>
              </w:rPr>
            </w:pPr>
            <w:r>
              <w:rPr>
                <w:rFonts w:cs="宋体"/>
                <w:color w:val="000000"/>
                <w:sz w:val="20"/>
                <w:szCs w:val="20"/>
              </w:rPr>
              <w:t>公开06表</w:t>
            </w:r>
          </w:p>
        </w:tc>
      </w:tr>
      <w:tr>
        <w:tblPrEx>
          <w:tblCellMar>
            <w:top w:w="0" w:type="dxa"/>
            <w:left w:w="0" w:type="dxa"/>
            <w:bottom w:w="0" w:type="dxa"/>
            <w:right w:w="0" w:type="dxa"/>
          </w:tblCellMar>
        </w:tblPrEx>
        <w:trPr>
          <w:trHeight w:val="90" w:hRule="atLeast"/>
        </w:trPr>
        <w:tc>
          <w:tcPr>
            <w:tcW w:w="2435" w:type="pct"/>
            <w:gridSpan w:val="5"/>
            <w:vMerge w:val="continue"/>
            <w:tcBorders>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539"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263"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1148" w:type="pct"/>
            <w:tcBorders>
              <w:top w:val="nil"/>
              <w:left w:val="nil"/>
              <w:bottom w:val="nil"/>
              <w:right w:val="nil"/>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615" w:type="pct"/>
            <w:tcBorders>
              <w:top w:val="nil"/>
              <w:left w:val="nil"/>
              <w:bottom w:val="nil"/>
              <w:right w:val="nil"/>
            </w:tcBorders>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90" w:hRule="atLeast"/>
        </w:trPr>
        <w:tc>
          <w:tcPr>
            <w:tcW w:w="1537" w:type="pct"/>
            <w:gridSpan w:val="3"/>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人员经费</w:t>
            </w:r>
          </w:p>
        </w:tc>
        <w:tc>
          <w:tcPr>
            <w:tcW w:w="3463" w:type="pct"/>
            <w:gridSpan w:val="6"/>
            <w:tcBorders>
              <w:top w:val="single" w:color="000000" w:sz="4" w:space="0"/>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公用经费</w:t>
            </w:r>
          </w:p>
        </w:tc>
      </w:tr>
      <w:tr>
        <w:tblPrEx>
          <w:tblCellMar>
            <w:top w:w="0" w:type="dxa"/>
            <w:left w:w="0" w:type="dxa"/>
            <w:bottom w:w="0" w:type="dxa"/>
            <w:right w:w="0" w:type="dxa"/>
          </w:tblCellMar>
        </w:tblPrEx>
        <w:trPr>
          <w:trHeight w:val="312" w:hRule="atLeast"/>
        </w:trPr>
        <w:tc>
          <w:tcPr>
            <w:tcW w:w="197"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经济分类科目编码</w:t>
            </w:r>
          </w:p>
        </w:tc>
        <w:tc>
          <w:tcPr>
            <w:tcW w:w="892"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经济分类科目（按“款”级功能分类科目）</w:t>
            </w:r>
          </w:p>
        </w:tc>
        <w:tc>
          <w:tcPr>
            <w:tcW w:w="448"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金额</w:t>
            </w:r>
          </w:p>
        </w:tc>
        <w:tc>
          <w:tcPr>
            <w:tcW w:w="272"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经济分类科目编码</w:t>
            </w:r>
          </w:p>
        </w:tc>
        <w:tc>
          <w:tcPr>
            <w:tcW w:w="626"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经济分类科目（按“款”级功能分类科目）</w:t>
            </w:r>
          </w:p>
        </w:tc>
        <w:tc>
          <w:tcPr>
            <w:tcW w:w="539"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金额</w:t>
            </w:r>
          </w:p>
        </w:tc>
        <w:tc>
          <w:tcPr>
            <w:tcW w:w="263"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经济分类科目编码</w:t>
            </w:r>
          </w:p>
        </w:tc>
        <w:tc>
          <w:tcPr>
            <w:tcW w:w="1148"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经济分类科目（按“款”级功能分类科目）</w:t>
            </w:r>
          </w:p>
        </w:tc>
        <w:tc>
          <w:tcPr>
            <w:tcW w:w="615"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金额</w:t>
            </w:r>
          </w:p>
        </w:tc>
      </w:tr>
      <w:tr>
        <w:tblPrEx>
          <w:tblCellMar>
            <w:top w:w="0" w:type="dxa"/>
            <w:left w:w="0" w:type="dxa"/>
            <w:bottom w:w="0" w:type="dxa"/>
            <w:right w:w="0" w:type="dxa"/>
          </w:tblCellMar>
        </w:tblPrEx>
        <w:trPr>
          <w:trHeight w:val="312" w:hRule="atLeast"/>
        </w:trPr>
        <w:tc>
          <w:tcPr>
            <w:tcW w:w="197"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892"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448"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272"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626"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53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263"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1148"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c>
          <w:tcPr>
            <w:tcW w:w="61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spacing w:line="200" w:lineRule="exact"/>
              <w:jc w:val="center"/>
              <w:rPr>
                <w:rFonts w:hint="default" w:cs="宋体"/>
                <w:b/>
                <w:color w:val="000000"/>
                <w:sz w:val="18"/>
                <w:szCs w:val="18"/>
              </w:rPr>
            </w:pP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工资福利支出</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1,612.00</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商品和服务支出</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199.87</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资本性支出</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30101</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基本工资</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328.40</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30201</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办公费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20.37</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31001</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房屋建筑物购建</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30102</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津贴补贴</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167.46</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30202</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印刷费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31002</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办公设备购置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30103</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奖金</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347.25</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30203</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咨询费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31003</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专用设备购置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30106</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伙食补助费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30204</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手续费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31005</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基础设施建设</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30107</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绩效工资</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351.99</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30205</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水费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2.90</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31006</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大型修缮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30108</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机关事业单位基本养老保险缴费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117.09</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30206</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电费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2.90</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31007</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信息网络及软件购置更新</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30109</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职业年金缴费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58.54</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30207</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邮电费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16.78</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31008</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物资储备</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30110</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职工基本医疗保险缴费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56.90</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30208</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取暖费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31009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土地补偿</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30111</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公务员医疗补助缴费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30209</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物业管理费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31010</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安置补助</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30112</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其他社会保障缴费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5.15</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30211</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差旅费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45.84</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31011</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地上附着物和青苗补偿</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30113</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住房公积金</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99.00</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30212</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因公出国（境）费用</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31012</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拆迁补偿</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30114</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医疗费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10.72</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30213</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维修（护）费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31013</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公务用车购置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30199</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其他工资福利支出</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69.51</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30214</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租赁费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31019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其他交通工具购置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对个人和家庭的补助</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147.86</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30215</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会议费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31021</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文物和陈列品购置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30301</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离休费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30216</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培训费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4.85</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31022</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无形资产购置</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30302</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退休费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88.59</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30217</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公务接待费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2.25</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31099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其他资本性支出</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30303</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退职（役）费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30218</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专用材料费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312</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对企业补助</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30304</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抚恤金</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45.20</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30224</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被装购置费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31201</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资本金注入</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30305</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生活补助</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2.63</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30225</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专用燃料费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31203</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政府投资基金股权投资</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30306</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救济费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30226</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劳务费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31204</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费用补贴</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30307</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医疗费补助</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7.20</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30227</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委托业务费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31205</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利息补贴</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30308</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助学金</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30228</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工会经费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19.76</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31299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其他对企业补助</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30309</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奖励金</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4.24</w:t>
            </w: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30229</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福利费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11.31</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399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其他支出</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30310</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个人农业生产补贴</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30231</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公务用车运行维护费</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6.00</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39907</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国家赔偿费用支出</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30311</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代缴社会保险费</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30239</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其他交通费用</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32.17</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39908</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对民间非营利组织和群众性自治组织补贴</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30399</w:t>
            </w: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其他对个人和家庭的补助</w:t>
            </w: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30240</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税金及附加费用</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39909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经常性赠与</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30299</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其他商品和服务支出</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34.74</w:t>
            </w: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39910</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资本性赠与</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307</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债务利息及费用支出</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39999</w:t>
            </w: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其他支出</w:t>
            </w: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30701</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国内债务付息</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30702</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国外债务付息</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30703</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国内债务发行费用</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197"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89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448"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spacing w:line="200" w:lineRule="exact"/>
              <w:rPr>
                <w:rFonts w:hint="default" w:cs="宋体"/>
                <w:color w:val="000000"/>
                <w:sz w:val="18"/>
                <w:szCs w:val="18"/>
              </w:rPr>
            </w:pPr>
          </w:p>
        </w:tc>
        <w:tc>
          <w:tcPr>
            <w:tcW w:w="27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30704</w:t>
            </w:r>
          </w:p>
        </w:tc>
        <w:tc>
          <w:tcPr>
            <w:tcW w:w="626"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textAlignment w:val="center"/>
              <w:rPr>
                <w:rFonts w:hint="default" w:cs="宋体"/>
                <w:color w:val="000000"/>
                <w:sz w:val="18"/>
                <w:szCs w:val="18"/>
              </w:rPr>
            </w:pPr>
            <w:r>
              <w:rPr>
                <w:rFonts w:cs="宋体"/>
                <w:color w:val="000000"/>
                <w:sz w:val="18"/>
                <w:szCs w:val="18"/>
              </w:rPr>
              <w:t xml:space="preserve">  国外债务发行费用</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color w:val="000000"/>
                <w:sz w:val="18"/>
                <w:u w:color="auto"/>
              </w:rPr>
              <w:t xml:space="preserve"> </w:t>
            </w:r>
          </w:p>
        </w:tc>
        <w:tc>
          <w:tcPr>
            <w:tcW w:w="263"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114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rPr>
                <w:rFonts w:hint="default" w:cs="宋体"/>
                <w:color w:val="000000"/>
                <w:sz w:val="18"/>
                <w:szCs w:val="18"/>
              </w:rPr>
            </w:pPr>
          </w:p>
        </w:tc>
        <w:tc>
          <w:tcPr>
            <w:tcW w:w="61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00" w:lineRule="exact"/>
              <w:jc w:val="right"/>
              <w:rPr>
                <w:rFonts w:hint="default" w:cs="宋体"/>
                <w:color w:val="000000"/>
                <w:sz w:val="18"/>
                <w:szCs w:val="18"/>
              </w:rPr>
            </w:pPr>
          </w:p>
        </w:tc>
      </w:tr>
      <w:tr>
        <w:tblPrEx>
          <w:tblCellMar>
            <w:top w:w="0" w:type="dxa"/>
            <w:left w:w="0" w:type="dxa"/>
            <w:bottom w:w="0" w:type="dxa"/>
            <w:right w:w="0" w:type="dxa"/>
          </w:tblCellMar>
        </w:tblPrEx>
        <w:trPr>
          <w:trHeight w:val="90" w:hRule="atLeast"/>
        </w:trPr>
        <w:tc>
          <w:tcPr>
            <w:tcW w:w="1089" w:type="pct"/>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人员经费合计</w:t>
            </w:r>
          </w:p>
        </w:tc>
        <w:tc>
          <w:tcPr>
            <w:tcW w:w="448"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pPr>
              <w:wordWrap w:val="0"/>
              <w:spacing w:line="200" w:lineRule="exact"/>
              <w:jc w:val="right"/>
              <w:textAlignment w:val="bottom"/>
              <w:rPr>
                <w:rFonts w:hint="default" w:cs="宋体"/>
                <w:color w:val="000000"/>
                <w:sz w:val="18"/>
                <w:szCs w:val="18"/>
              </w:rPr>
            </w:pPr>
            <w:r>
              <w:rPr>
                <w:rFonts w:cs="宋体"/>
                <w:color w:val="000000"/>
                <w:sz w:val="18"/>
                <w:szCs w:val="18"/>
              </w:rPr>
              <w:t>1,759.86</w:t>
            </w:r>
            <w:r>
              <w:rPr>
                <w:color w:val="000000"/>
                <w:sz w:val="18"/>
                <w:u w:color="auto"/>
              </w:rPr>
              <w:t xml:space="preserve"> </w:t>
            </w:r>
          </w:p>
        </w:tc>
        <w:tc>
          <w:tcPr>
            <w:tcW w:w="2848" w:type="pct"/>
            <w:gridSpan w:val="5"/>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spacing w:line="200" w:lineRule="exact"/>
              <w:jc w:val="center"/>
              <w:textAlignment w:val="center"/>
              <w:rPr>
                <w:rFonts w:hint="default" w:cs="宋体"/>
                <w:b/>
                <w:color w:val="000000"/>
                <w:sz w:val="18"/>
                <w:szCs w:val="18"/>
              </w:rPr>
            </w:pPr>
            <w:r>
              <w:rPr>
                <w:rFonts w:cs="宋体"/>
                <w:b/>
                <w:color w:val="000000"/>
                <w:sz w:val="18"/>
                <w:szCs w:val="18"/>
              </w:rPr>
              <w:t>公用经费合计</w:t>
            </w:r>
          </w:p>
        </w:tc>
        <w:tc>
          <w:tcPr>
            <w:tcW w:w="61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spacing w:line="200" w:lineRule="exact"/>
              <w:jc w:val="right"/>
              <w:textAlignment w:val="center"/>
              <w:rPr>
                <w:rFonts w:hint="default" w:cs="宋体"/>
                <w:color w:val="000000"/>
                <w:sz w:val="18"/>
                <w:szCs w:val="18"/>
              </w:rPr>
            </w:pPr>
            <w:r>
              <w:rPr>
                <w:rFonts w:cs="宋体"/>
                <w:color w:val="000000"/>
                <w:sz w:val="18"/>
                <w:szCs w:val="18"/>
              </w:rPr>
              <w:t>199.87</w:t>
            </w:r>
            <w:r>
              <w:rPr>
                <w:color w:val="000000"/>
                <w:sz w:val="18"/>
                <w:u w:color="auto"/>
              </w:rPr>
              <w:t xml:space="preserve"> </w:t>
            </w:r>
          </w:p>
        </w:tc>
      </w:tr>
    </w:tbl>
    <w:p>
      <w:pPr>
        <w:spacing w:line="280" w:lineRule="exact"/>
        <w:rPr>
          <w:rFonts w:hint="default" w:cs="宋体"/>
          <w:sz w:val="20"/>
          <w:szCs w:val="20"/>
        </w:rPr>
      </w:pPr>
      <w:r>
        <w:rPr>
          <w:rFonts w:cs="宋体"/>
          <w:sz w:val="20"/>
          <w:szCs w:val="20"/>
        </w:rPr>
        <w:t>备注：1.本表反映部门本年度一般公共预算财政拨款基本支出明细情况。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r>
        <w:rPr>
          <w:rFonts w:cs="宋体"/>
          <w:sz w:val="21"/>
          <w:szCs w:val="21"/>
        </w:rPr>
        <w:br w:type="page"/>
      </w:r>
    </w:p>
    <w:tbl>
      <w:tblPr>
        <w:tblStyle w:val="8"/>
        <w:tblW w:w="5000" w:type="pct"/>
        <w:tblInd w:w="0" w:type="dxa"/>
        <w:tblLayout w:type="autofit"/>
        <w:tblCellMar>
          <w:top w:w="0" w:type="dxa"/>
          <w:left w:w="0" w:type="dxa"/>
          <w:bottom w:w="0" w:type="dxa"/>
          <w:right w:w="0" w:type="dxa"/>
        </w:tblCellMar>
      </w:tblPr>
      <w:tblGrid>
        <w:gridCol w:w="1768"/>
        <w:gridCol w:w="3630"/>
        <w:gridCol w:w="1622"/>
        <w:gridCol w:w="1622"/>
        <w:gridCol w:w="1622"/>
        <w:gridCol w:w="1622"/>
        <w:gridCol w:w="1686"/>
        <w:gridCol w:w="1750"/>
      </w:tblGrid>
      <w:tr>
        <w:tblPrEx>
          <w:tblCellMar>
            <w:top w:w="0" w:type="dxa"/>
            <w:left w:w="0" w:type="dxa"/>
            <w:bottom w:w="0" w:type="dxa"/>
            <w:right w:w="0" w:type="dxa"/>
          </w:tblCellMar>
        </w:tblPrEx>
        <w:trPr>
          <w:trHeight w:val="644" w:hRule="atLeast"/>
        </w:trPr>
        <w:tc>
          <w:tcPr>
            <w:tcW w:w="5000" w:type="pct"/>
            <w:gridSpan w:val="8"/>
            <w:tcBorders>
              <w:top w:val="nil"/>
              <w:left w:val="nil"/>
              <w:bottom w:val="nil"/>
              <w:right w:val="nil"/>
            </w:tcBorders>
            <w:shd w:val="clear" w:color="auto" w:fill="auto"/>
            <w:noWrap/>
            <w:tcMar>
              <w:top w:w="15" w:type="dxa"/>
              <w:left w:w="15" w:type="dxa"/>
              <w:right w:w="15" w:type="dxa"/>
            </w:tcMar>
            <w:vAlign w:val="bottom"/>
          </w:tcPr>
          <w:p>
            <w:pPr>
              <w:jc w:val="center"/>
              <w:textAlignment w:val="bottom"/>
              <w:rPr>
                <w:rFonts w:hint="default" w:cs="宋体"/>
                <w:b/>
                <w:color w:val="000000"/>
                <w:sz w:val="32"/>
                <w:szCs w:val="32"/>
              </w:rPr>
            </w:pPr>
            <w:r>
              <w:rPr>
                <w:rFonts w:cs="宋体"/>
                <w:b/>
                <w:color w:val="000000"/>
                <w:sz w:val="32"/>
                <w:szCs w:val="32"/>
              </w:rPr>
              <w:t>政府性基金预算财政拨款收入支出决算表</w:t>
            </w:r>
          </w:p>
        </w:tc>
      </w:tr>
      <w:tr>
        <w:tblPrEx>
          <w:tblCellMar>
            <w:top w:w="0" w:type="dxa"/>
            <w:left w:w="0" w:type="dxa"/>
            <w:bottom w:w="0" w:type="dxa"/>
            <w:right w:w="0" w:type="dxa"/>
          </w:tblCellMar>
        </w:tblPrEx>
        <w:trPr>
          <w:trHeight w:val="329" w:hRule="atLeast"/>
        </w:trPr>
        <w:tc>
          <w:tcPr>
            <w:tcW w:w="2162" w:type="pct"/>
            <w:gridSpan w:val="3"/>
            <w:vMerge w:val="restart"/>
            <w:tcBorders>
              <w:top w:val="nil"/>
              <w:left w:val="nil"/>
              <w:right w:val="nil"/>
            </w:tcBorders>
            <w:shd w:val="clear" w:color="auto" w:fill="auto"/>
            <w:noWrap/>
            <w:tcMar>
              <w:top w:w="15" w:type="dxa"/>
              <w:left w:w="15" w:type="dxa"/>
              <w:right w:w="15" w:type="dxa"/>
            </w:tcMar>
            <w:vAlign w:val="bottom"/>
          </w:tcPr>
          <w:p>
            <w:pPr>
              <w:rPr>
                <w:rFonts w:hint="default" w:cs="宋体"/>
                <w:color w:val="000000"/>
                <w:sz w:val="20"/>
                <w:szCs w:val="20"/>
              </w:rPr>
            </w:pPr>
            <w:r>
              <w:rPr>
                <w:rFonts w:cs="宋体"/>
                <w:sz w:val="20"/>
                <w:szCs w:val="20"/>
              </w:rPr>
              <w:t>公开部门</w:t>
            </w:r>
            <w:r>
              <w:rPr>
                <w:rFonts w:cs="宋体"/>
                <w:color w:val="000000"/>
                <w:sz w:val="20"/>
                <w:szCs w:val="20"/>
              </w:rPr>
              <w:t xml:space="preserve">： </w:t>
            </w:r>
            <w:r>
              <w:rPr>
                <w:color w:val="000000"/>
                <w:sz w:val="20"/>
                <w:u w:color="auto"/>
              </w:rPr>
              <w:t>重庆市忠县黄金镇人民政府</w:t>
            </w:r>
          </w:p>
        </w:tc>
        <w:tc>
          <w:tcPr>
            <w:tcW w:w="555"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55"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55"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76"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97" w:type="pct"/>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公开07表</w:t>
            </w:r>
          </w:p>
        </w:tc>
      </w:tr>
      <w:tr>
        <w:tblPrEx>
          <w:tblCellMar>
            <w:top w:w="0" w:type="dxa"/>
            <w:left w:w="0" w:type="dxa"/>
            <w:bottom w:w="0" w:type="dxa"/>
            <w:right w:w="0" w:type="dxa"/>
          </w:tblCellMar>
        </w:tblPrEx>
        <w:trPr>
          <w:trHeight w:val="329" w:hRule="atLeast"/>
        </w:trPr>
        <w:tc>
          <w:tcPr>
            <w:tcW w:w="2162" w:type="pct"/>
            <w:gridSpan w:val="3"/>
            <w:vMerge w:val="continue"/>
            <w:tcBorders>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55"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55"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55"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76" w:type="pct"/>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597" w:type="pct"/>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339" w:hRule="atLeast"/>
        </w:trPr>
        <w:tc>
          <w:tcPr>
            <w:tcW w:w="1607" w:type="pct"/>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w:t>
            </w:r>
          </w:p>
        </w:tc>
        <w:tc>
          <w:tcPr>
            <w:tcW w:w="555" w:type="pct"/>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年初结转和结余</w:t>
            </w:r>
          </w:p>
        </w:tc>
        <w:tc>
          <w:tcPr>
            <w:tcW w:w="555"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本年收入</w:t>
            </w:r>
          </w:p>
        </w:tc>
        <w:tc>
          <w:tcPr>
            <w:tcW w:w="1686" w:type="pct"/>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本年支出</w:t>
            </w:r>
          </w:p>
        </w:tc>
        <w:tc>
          <w:tcPr>
            <w:tcW w:w="597"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年末结转和结余</w:t>
            </w:r>
          </w:p>
        </w:tc>
      </w:tr>
      <w:tr>
        <w:tblPrEx>
          <w:tblCellMar>
            <w:top w:w="0" w:type="dxa"/>
            <w:left w:w="0" w:type="dxa"/>
            <w:bottom w:w="0" w:type="dxa"/>
            <w:right w:w="0" w:type="dxa"/>
          </w:tblCellMar>
        </w:tblPrEx>
        <w:trPr>
          <w:trHeight w:val="335" w:hRule="atLeast"/>
        </w:trPr>
        <w:tc>
          <w:tcPr>
            <w:tcW w:w="603"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功能分类科目编码</w:t>
            </w:r>
          </w:p>
        </w:tc>
        <w:tc>
          <w:tcPr>
            <w:tcW w:w="1004"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项目（按“项”级功能分类科目）</w:t>
            </w:r>
          </w:p>
        </w:tc>
        <w:tc>
          <w:tcPr>
            <w:tcW w:w="555"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5"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555"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基本支出</w:t>
            </w:r>
          </w:p>
        </w:tc>
        <w:tc>
          <w:tcPr>
            <w:tcW w:w="576"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项目支出</w:t>
            </w:r>
          </w:p>
        </w:tc>
        <w:tc>
          <w:tcPr>
            <w:tcW w:w="597"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5" w:hRule="atLeast"/>
        </w:trPr>
        <w:tc>
          <w:tcPr>
            <w:tcW w:w="60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00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5"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76"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97"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645" w:hRule="atLeast"/>
        </w:trPr>
        <w:tc>
          <w:tcPr>
            <w:tcW w:w="60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00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5"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5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76"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597"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9" w:hRule="atLeast"/>
        </w:trPr>
        <w:tc>
          <w:tcPr>
            <w:tcW w:w="1607" w:type="pct"/>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81.00</w:t>
            </w:r>
            <w:r>
              <w:rPr>
                <w:b/>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81.00</w:t>
            </w:r>
            <w:r>
              <w:rPr>
                <w:b/>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57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bCs/>
                <w:color w:val="000000"/>
                <w:sz w:val="20"/>
                <w:szCs w:val="20"/>
              </w:rPr>
              <w:t>81.00</w:t>
            </w:r>
            <w:r>
              <w:rPr>
                <w:b/>
                <w:color w:val="000000"/>
                <w:sz w:val="20"/>
                <w:u w:color="auto"/>
              </w:rPr>
              <w:t xml:space="preserve"> </w:t>
            </w:r>
          </w:p>
        </w:tc>
        <w:tc>
          <w:tcPr>
            <w:tcW w:w="59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r>
      <w:tr>
        <w:tblPrEx>
          <w:tblCellMar>
            <w:top w:w="0" w:type="dxa"/>
            <w:left w:w="0" w:type="dxa"/>
            <w:bottom w:w="0" w:type="dxa"/>
            <w:right w:w="0" w:type="dxa"/>
          </w:tblCellMar>
        </w:tblPrEx>
        <w:trPr>
          <w:trHeight w:val="349"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b/>
                <w:color w:val="000000"/>
                <w:sz w:val="20"/>
                <w:szCs w:val="20"/>
              </w:rPr>
              <w:t>213</w:t>
            </w:r>
          </w:p>
        </w:tc>
        <w:tc>
          <w:tcPr>
            <w:tcW w:w="100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b/>
                <w:color w:val="000000"/>
                <w:sz w:val="20"/>
                <w:szCs w:val="20"/>
              </w:rPr>
              <w:t>农林水支出</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40.00</w:t>
            </w:r>
            <w:r>
              <w:rPr>
                <w:b/>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40.00</w:t>
            </w:r>
            <w:r>
              <w:rPr>
                <w:b/>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57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40.00</w:t>
            </w:r>
            <w:r>
              <w:rPr>
                <w:b/>
                <w:color w:val="000000"/>
                <w:sz w:val="20"/>
                <w:u w:color="auto"/>
              </w:rPr>
              <w:t xml:space="preserve"> </w:t>
            </w:r>
          </w:p>
        </w:tc>
        <w:tc>
          <w:tcPr>
            <w:tcW w:w="59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9"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b/>
                <w:color w:val="000000"/>
                <w:sz w:val="20"/>
                <w:szCs w:val="20"/>
              </w:rPr>
              <w:t>21367</w:t>
            </w:r>
          </w:p>
        </w:tc>
        <w:tc>
          <w:tcPr>
            <w:tcW w:w="100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b/>
                <w:color w:val="000000"/>
                <w:sz w:val="20"/>
                <w:szCs w:val="20"/>
              </w:rPr>
              <w:t>三峡水库库区基金支出</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40.00</w:t>
            </w:r>
            <w:r>
              <w:rPr>
                <w:b/>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40.00</w:t>
            </w:r>
            <w:r>
              <w:rPr>
                <w:b/>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57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40.00</w:t>
            </w:r>
            <w:r>
              <w:rPr>
                <w:b/>
                <w:color w:val="000000"/>
                <w:sz w:val="20"/>
                <w:u w:color="auto"/>
              </w:rPr>
              <w:t xml:space="preserve"> </w:t>
            </w:r>
          </w:p>
        </w:tc>
        <w:tc>
          <w:tcPr>
            <w:tcW w:w="59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9"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color w:val="000000"/>
                <w:sz w:val="20"/>
                <w:szCs w:val="20"/>
              </w:rPr>
              <w:t>2136701</w:t>
            </w:r>
          </w:p>
        </w:tc>
        <w:tc>
          <w:tcPr>
            <w:tcW w:w="100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color w:val="000000"/>
                <w:sz w:val="20"/>
                <w:szCs w:val="20"/>
              </w:rPr>
              <w:t>基础设施建设和经济发展</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40.00</w:t>
            </w:r>
            <w:r>
              <w:rPr>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40.00</w:t>
            </w:r>
            <w:r>
              <w:rPr>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57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40.00</w:t>
            </w:r>
            <w:r>
              <w:rPr>
                <w:color w:val="000000"/>
                <w:sz w:val="20"/>
                <w:u w:color="auto"/>
              </w:rPr>
              <w:t xml:space="preserve"> </w:t>
            </w:r>
          </w:p>
        </w:tc>
        <w:tc>
          <w:tcPr>
            <w:tcW w:w="59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9"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b/>
                <w:color w:val="000000"/>
                <w:sz w:val="20"/>
                <w:szCs w:val="20"/>
              </w:rPr>
              <w:t>229</w:t>
            </w:r>
          </w:p>
        </w:tc>
        <w:tc>
          <w:tcPr>
            <w:tcW w:w="100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b/>
                <w:color w:val="000000"/>
                <w:sz w:val="20"/>
                <w:szCs w:val="20"/>
              </w:rPr>
              <w:t>其他支出</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41.00</w:t>
            </w:r>
            <w:r>
              <w:rPr>
                <w:b/>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41.00</w:t>
            </w:r>
            <w:r>
              <w:rPr>
                <w:b/>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57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41.00</w:t>
            </w:r>
            <w:r>
              <w:rPr>
                <w:b/>
                <w:color w:val="000000"/>
                <w:sz w:val="20"/>
                <w:u w:color="auto"/>
              </w:rPr>
              <w:t xml:space="preserve"> </w:t>
            </w:r>
          </w:p>
        </w:tc>
        <w:tc>
          <w:tcPr>
            <w:tcW w:w="59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9"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b/>
                <w:color w:val="000000"/>
                <w:sz w:val="20"/>
                <w:szCs w:val="20"/>
              </w:rPr>
              <w:t>22960</w:t>
            </w:r>
          </w:p>
        </w:tc>
        <w:tc>
          <w:tcPr>
            <w:tcW w:w="100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b/>
                <w:color w:val="000000"/>
                <w:sz w:val="20"/>
                <w:szCs w:val="20"/>
              </w:rPr>
              <w:t>彩票公益金安排的支出</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41.00</w:t>
            </w:r>
            <w:r>
              <w:rPr>
                <w:b/>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41.00</w:t>
            </w:r>
            <w:r>
              <w:rPr>
                <w:b/>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57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b/>
                <w:color w:val="000000"/>
                <w:sz w:val="20"/>
                <w:szCs w:val="20"/>
              </w:rPr>
              <w:t>41.00</w:t>
            </w:r>
            <w:r>
              <w:rPr>
                <w:b/>
                <w:color w:val="000000"/>
                <w:sz w:val="20"/>
                <w:u w:color="auto"/>
              </w:rPr>
              <w:t xml:space="preserve"> </w:t>
            </w:r>
          </w:p>
        </w:tc>
        <w:tc>
          <w:tcPr>
            <w:tcW w:w="59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9"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color w:val="000000"/>
                <w:sz w:val="20"/>
                <w:szCs w:val="20"/>
              </w:rPr>
              <w:t>2296002</w:t>
            </w:r>
          </w:p>
        </w:tc>
        <w:tc>
          <w:tcPr>
            <w:tcW w:w="100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color w:val="000000"/>
                <w:sz w:val="20"/>
                <w:szCs w:val="20"/>
              </w:rPr>
              <w:t>用于社会福利的彩票公益金支出</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20.00</w:t>
            </w:r>
            <w:r>
              <w:rPr>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20.00</w:t>
            </w:r>
            <w:r>
              <w:rPr>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57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20.00</w:t>
            </w:r>
            <w:r>
              <w:rPr>
                <w:color w:val="000000"/>
                <w:sz w:val="20"/>
                <w:u w:color="auto"/>
              </w:rPr>
              <w:t xml:space="preserve"> </w:t>
            </w:r>
          </w:p>
        </w:tc>
        <w:tc>
          <w:tcPr>
            <w:tcW w:w="59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r>
        <w:tblPrEx>
          <w:tblCellMar>
            <w:top w:w="0" w:type="dxa"/>
            <w:left w:w="0" w:type="dxa"/>
            <w:bottom w:w="0" w:type="dxa"/>
            <w:right w:w="0" w:type="dxa"/>
          </w:tblCellMar>
        </w:tblPrEx>
        <w:trPr>
          <w:trHeight w:val="349"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color w:val="000000"/>
                <w:sz w:val="20"/>
                <w:szCs w:val="20"/>
              </w:rPr>
              <w:t>2296099</w:t>
            </w:r>
          </w:p>
        </w:tc>
        <w:tc>
          <w:tcPr>
            <w:tcW w:w="100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both"/>
              <w:textAlignment w:val="center"/>
              <w:rPr>
                <w:rFonts w:hint="default" w:cs="宋体"/>
                <w:color w:val="000000"/>
                <w:sz w:val="20"/>
                <w:szCs w:val="20"/>
              </w:rPr>
            </w:pPr>
            <w:r>
              <w:rPr>
                <w:rFonts w:cs="宋体"/>
                <w:color w:val="000000"/>
                <w:sz w:val="20"/>
                <w:szCs w:val="20"/>
              </w:rPr>
              <w:t>用于其他社会公益事业的彩票公益金支出</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21.00</w:t>
            </w:r>
            <w:r>
              <w:rPr>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21.00</w:t>
            </w:r>
            <w:r>
              <w:rPr>
                <w:color w:val="000000"/>
                <w:sz w:val="20"/>
                <w:u w:color="auto"/>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c>
          <w:tcPr>
            <w:tcW w:w="57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rFonts w:cs="宋体"/>
                <w:color w:val="000000"/>
                <w:sz w:val="20"/>
                <w:szCs w:val="20"/>
              </w:rPr>
              <w:t>21.00</w:t>
            </w:r>
            <w:r>
              <w:rPr>
                <w:color w:val="000000"/>
                <w:sz w:val="20"/>
                <w:u w:color="auto"/>
              </w:rPr>
              <w:t xml:space="preserve"> </w:t>
            </w:r>
          </w:p>
        </w:tc>
        <w:tc>
          <w:tcPr>
            <w:tcW w:w="59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color w:val="000000"/>
                <w:sz w:val="20"/>
                <w:u w:color="auto"/>
              </w:rPr>
              <w:t xml:space="preserve"> </w:t>
            </w:r>
          </w:p>
        </w:tc>
      </w:tr>
    </w:tbl>
    <w:p>
      <w:pPr>
        <w:rPr>
          <w:rFonts w:hint="default" w:cs="宋体"/>
          <w:sz w:val="21"/>
          <w:szCs w:val="21"/>
        </w:rPr>
      </w:pPr>
      <w:r>
        <w:rPr>
          <w:rFonts w:cs="宋体"/>
          <w:sz w:val="20"/>
          <w:szCs w:val="20"/>
        </w:rPr>
        <w:t>备注：1.本表反映部门本年度政府性基金预算财政拨款收入支出及结转和结余情况。</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p>
    <w:p>
      <w:pPr>
        <w:rPr>
          <w:rFonts w:hint="default" w:cs="宋体"/>
          <w:sz w:val="21"/>
          <w:szCs w:val="21"/>
        </w:rPr>
      </w:pPr>
      <w:r>
        <w:rPr>
          <w:rFonts w:cs="宋体"/>
          <w:sz w:val="21"/>
          <w:szCs w:val="21"/>
        </w:rPr>
        <w:br w:type="page"/>
      </w:r>
    </w:p>
    <w:tbl>
      <w:tblPr>
        <w:tblStyle w:val="8"/>
        <w:tblW w:w="5000" w:type="pct"/>
        <w:tblInd w:w="0" w:type="dxa"/>
        <w:tblLayout w:type="autofit"/>
        <w:tblCellMar>
          <w:top w:w="0" w:type="dxa"/>
          <w:left w:w="0" w:type="dxa"/>
          <w:bottom w:w="0" w:type="dxa"/>
          <w:right w:w="0" w:type="dxa"/>
        </w:tblCellMar>
      </w:tblPr>
      <w:tblGrid>
        <w:gridCol w:w="1875"/>
        <w:gridCol w:w="3049"/>
        <w:gridCol w:w="3264"/>
        <w:gridCol w:w="199"/>
        <w:gridCol w:w="3463"/>
        <w:gridCol w:w="77"/>
        <w:gridCol w:w="3395"/>
      </w:tblGrid>
      <w:tr>
        <w:tblPrEx>
          <w:tblCellMar>
            <w:top w:w="0" w:type="dxa"/>
            <w:left w:w="0" w:type="dxa"/>
            <w:bottom w:w="0" w:type="dxa"/>
            <w:right w:w="0" w:type="dxa"/>
          </w:tblCellMar>
        </w:tblPrEx>
        <w:trPr>
          <w:trHeight w:val="650" w:hRule="atLeast"/>
        </w:trPr>
        <w:tc>
          <w:tcPr>
            <w:tcW w:w="5000" w:type="pct"/>
            <w:gridSpan w:val="7"/>
            <w:tcBorders>
              <w:top w:val="nil"/>
              <w:left w:val="nil"/>
              <w:bottom w:val="nil"/>
              <w:right w:val="nil"/>
            </w:tcBorders>
            <w:shd w:val="clear" w:color="auto" w:fill="auto"/>
            <w:noWrap/>
            <w:tcMar>
              <w:top w:w="15" w:type="dxa"/>
              <w:left w:w="15" w:type="dxa"/>
              <w:right w:w="15" w:type="dxa"/>
            </w:tcMar>
            <w:vAlign w:val="bottom"/>
          </w:tcPr>
          <w:p>
            <w:pPr>
              <w:jc w:val="center"/>
              <w:textAlignment w:val="bottom"/>
              <w:rPr>
                <w:rFonts w:hint="default" w:cs="宋体"/>
                <w:b/>
                <w:color w:val="000000"/>
                <w:sz w:val="32"/>
                <w:szCs w:val="32"/>
              </w:rPr>
            </w:pPr>
            <w:r>
              <w:rPr>
                <w:rFonts w:cs="宋体"/>
                <w:b/>
                <w:color w:val="000000"/>
                <w:sz w:val="32"/>
                <w:szCs w:val="32"/>
              </w:rPr>
              <w:t>国有资本经营预算财政拨款支出决算表</w:t>
            </w:r>
          </w:p>
        </w:tc>
      </w:tr>
      <w:tr>
        <w:tblPrEx>
          <w:tblCellMar>
            <w:top w:w="0" w:type="dxa"/>
            <w:left w:w="0" w:type="dxa"/>
            <w:bottom w:w="0" w:type="dxa"/>
            <w:right w:w="0" w:type="dxa"/>
          </w:tblCellMar>
        </w:tblPrEx>
        <w:trPr>
          <w:trHeight w:val="332" w:hRule="atLeast"/>
        </w:trPr>
        <w:tc>
          <w:tcPr>
            <w:tcW w:w="2672" w:type="pct"/>
            <w:gridSpan w:val="3"/>
            <w:vMerge w:val="restart"/>
            <w:tcBorders>
              <w:top w:val="nil"/>
              <w:left w:val="nil"/>
              <w:right w:val="nil"/>
            </w:tcBorders>
            <w:shd w:val="clear" w:color="auto" w:fill="auto"/>
            <w:noWrap/>
            <w:tcMar>
              <w:top w:w="15" w:type="dxa"/>
              <w:left w:w="15" w:type="dxa"/>
              <w:right w:w="15" w:type="dxa"/>
            </w:tcMar>
            <w:vAlign w:val="bottom"/>
          </w:tcPr>
          <w:p>
            <w:pPr>
              <w:rPr>
                <w:rFonts w:hint="default" w:cs="宋体"/>
                <w:color w:val="000000"/>
                <w:sz w:val="20"/>
                <w:szCs w:val="20"/>
              </w:rPr>
            </w:pPr>
            <w:r>
              <w:rPr>
                <w:rFonts w:cs="宋体"/>
                <w:sz w:val="20"/>
                <w:szCs w:val="20"/>
              </w:rPr>
              <w:t>公开部门</w:t>
            </w:r>
            <w:r>
              <w:rPr>
                <w:rFonts w:cs="宋体"/>
                <w:color w:val="000000"/>
                <w:sz w:val="20"/>
                <w:szCs w:val="20"/>
              </w:rPr>
              <w:t xml:space="preserve">： </w:t>
            </w:r>
            <w:r>
              <w:rPr>
                <w:color w:val="000000"/>
                <w:sz w:val="20"/>
                <w:u w:color="auto"/>
              </w:rPr>
              <w:t>重庆市忠县黄金镇人民政府</w:t>
            </w:r>
          </w:p>
        </w:tc>
        <w:tc>
          <w:tcPr>
            <w:tcW w:w="1220" w:type="pct"/>
            <w:gridSpan w:val="3"/>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108" w:type="pct"/>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公开08表</w:t>
            </w:r>
          </w:p>
        </w:tc>
      </w:tr>
      <w:tr>
        <w:tblPrEx>
          <w:tblCellMar>
            <w:top w:w="0" w:type="dxa"/>
            <w:left w:w="0" w:type="dxa"/>
            <w:bottom w:w="0" w:type="dxa"/>
            <w:right w:w="0" w:type="dxa"/>
          </w:tblCellMar>
        </w:tblPrEx>
        <w:trPr>
          <w:trHeight w:val="332" w:hRule="atLeast"/>
        </w:trPr>
        <w:tc>
          <w:tcPr>
            <w:tcW w:w="2672" w:type="pct"/>
            <w:gridSpan w:val="3"/>
            <w:vMerge w:val="continue"/>
            <w:tcBorders>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220" w:type="pct"/>
            <w:gridSpan w:val="3"/>
            <w:tcBorders>
              <w:top w:val="nil"/>
              <w:left w:val="nil"/>
              <w:bottom w:val="nil"/>
              <w:right w:val="nil"/>
            </w:tcBorders>
            <w:shd w:val="clear" w:color="auto" w:fill="auto"/>
            <w:noWrap/>
            <w:tcMar>
              <w:top w:w="15" w:type="dxa"/>
              <w:left w:w="15" w:type="dxa"/>
              <w:right w:w="15" w:type="dxa"/>
            </w:tcMar>
            <w:vAlign w:val="bottom"/>
          </w:tcPr>
          <w:p>
            <w:pPr>
              <w:rPr>
                <w:rFonts w:hint="default" w:cs="宋体"/>
                <w:color w:val="000000"/>
                <w:sz w:val="20"/>
                <w:szCs w:val="20"/>
              </w:rPr>
            </w:pPr>
          </w:p>
        </w:tc>
        <w:tc>
          <w:tcPr>
            <w:tcW w:w="1108" w:type="pct"/>
            <w:tcBorders>
              <w:top w:val="nil"/>
              <w:left w:val="nil"/>
              <w:bottom w:val="nil"/>
              <w:right w:val="nil"/>
            </w:tcBorders>
            <w:shd w:val="clear" w:color="auto" w:fill="auto"/>
            <w:noWrap/>
            <w:tcMar>
              <w:top w:w="15" w:type="dxa"/>
              <w:left w:w="15" w:type="dxa"/>
              <w:right w:w="15" w:type="dxa"/>
            </w:tcMar>
            <w:vAlign w:val="bottom"/>
          </w:tcPr>
          <w:p>
            <w:pPr>
              <w:jc w:val="right"/>
              <w:textAlignment w:val="bottom"/>
              <w:rPr>
                <w:rFonts w:hint="default" w:cs="宋体"/>
                <w:color w:val="000000"/>
                <w:sz w:val="20"/>
                <w:szCs w:val="20"/>
              </w:rPr>
            </w:pPr>
            <w:r>
              <w:rPr>
                <w:rFonts w:cs="宋体"/>
                <w:color w:val="000000"/>
                <w:sz w:val="20"/>
                <w:szCs w:val="20"/>
              </w:rPr>
              <w:t>单位：</w:t>
            </w:r>
            <w:r>
              <w:rPr>
                <w:rFonts w:cs="宋体"/>
                <w:sz w:val="20"/>
                <w:szCs w:val="20"/>
              </w:rPr>
              <w:t>万元</w:t>
            </w:r>
          </w:p>
        </w:tc>
      </w:tr>
      <w:tr>
        <w:tblPrEx>
          <w:tblCellMar>
            <w:top w:w="0" w:type="dxa"/>
            <w:left w:w="0" w:type="dxa"/>
            <w:bottom w:w="0" w:type="dxa"/>
            <w:right w:w="0" w:type="dxa"/>
          </w:tblCellMar>
        </w:tblPrEx>
        <w:trPr>
          <w:trHeight w:val="422" w:hRule="atLeast"/>
        </w:trPr>
        <w:tc>
          <w:tcPr>
            <w:tcW w:w="1607" w:type="pct"/>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jc w:val="center"/>
              <w:textAlignment w:val="bottom"/>
              <w:rPr>
                <w:rFonts w:hint="default" w:cs="宋体"/>
                <w:b/>
                <w:color w:val="000000"/>
                <w:sz w:val="20"/>
                <w:szCs w:val="20"/>
              </w:rPr>
            </w:pPr>
            <w:r>
              <w:rPr>
                <w:rFonts w:cs="宋体"/>
                <w:b/>
                <w:color w:val="000000"/>
                <w:sz w:val="20"/>
                <w:szCs w:val="20"/>
              </w:rPr>
              <w:t>项目</w:t>
            </w:r>
          </w:p>
        </w:tc>
        <w:tc>
          <w:tcPr>
            <w:tcW w:w="3393" w:type="pct"/>
            <w:gridSpan w:val="5"/>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pPr>
              <w:jc w:val="center"/>
              <w:textAlignment w:val="bottom"/>
              <w:rPr>
                <w:rFonts w:hint="default" w:cs="宋体"/>
                <w:b/>
                <w:color w:val="000000"/>
                <w:sz w:val="20"/>
                <w:szCs w:val="20"/>
              </w:rPr>
            </w:pPr>
            <w:r>
              <w:rPr>
                <w:rFonts w:cs="宋体"/>
                <w:b/>
                <w:color w:val="000000"/>
                <w:sz w:val="20"/>
                <w:szCs w:val="20"/>
              </w:rPr>
              <w:t>本年支出</w:t>
            </w:r>
          </w:p>
        </w:tc>
      </w:tr>
      <w:tr>
        <w:tblPrEx>
          <w:tblCellMar>
            <w:top w:w="0" w:type="dxa"/>
            <w:left w:w="0" w:type="dxa"/>
            <w:bottom w:w="0" w:type="dxa"/>
            <w:right w:w="0" w:type="dxa"/>
          </w:tblCellMar>
        </w:tblPrEx>
        <w:trPr>
          <w:trHeight w:val="339" w:hRule="atLeast"/>
        </w:trPr>
        <w:tc>
          <w:tcPr>
            <w:tcW w:w="612"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功能分类科目编码</w:t>
            </w:r>
          </w:p>
        </w:tc>
        <w:tc>
          <w:tcPr>
            <w:tcW w:w="995"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科目名称</w:t>
            </w:r>
          </w:p>
        </w:tc>
        <w:tc>
          <w:tcPr>
            <w:tcW w:w="1130" w:type="pct"/>
            <w:gridSpan w:val="2"/>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1130"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基本支出</w:t>
            </w:r>
          </w:p>
        </w:tc>
        <w:tc>
          <w:tcPr>
            <w:tcW w:w="1133" w:type="pct"/>
            <w:gridSpan w:val="2"/>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项目支出</w:t>
            </w:r>
          </w:p>
        </w:tc>
      </w:tr>
      <w:tr>
        <w:tblPrEx>
          <w:tblCellMar>
            <w:top w:w="0" w:type="dxa"/>
            <w:left w:w="0" w:type="dxa"/>
            <w:bottom w:w="0" w:type="dxa"/>
            <w:right w:w="0" w:type="dxa"/>
          </w:tblCellMar>
        </w:tblPrEx>
        <w:trPr>
          <w:trHeight w:val="339" w:hRule="atLeast"/>
        </w:trPr>
        <w:tc>
          <w:tcPr>
            <w:tcW w:w="612"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99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30" w:type="pct"/>
            <w:gridSpan w:val="2"/>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30"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33" w:type="pct"/>
            <w:gridSpan w:val="2"/>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39" w:hRule="atLeast"/>
        </w:trPr>
        <w:tc>
          <w:tcPr>
            <w:tcW w:w="612"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99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30" w:type="pct"/>
            <w:gridSpan w:val="2"/>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30"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33" w:type="pct"/>
            <w:gridSpan w:val="2"/>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326" w:hRule="atLeast"/>
        </w:trPr>
        <w:tc>
          <w:tcPr>
            <w:tcW w:w="612"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99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30" w:type="pct"/>
            <w:gridSpan w:val="2"/>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30"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c>
          <w:tcPr>
            <w:tcW w:w="1133" w:type="pct"/>
            <w:gridSpan w:val="2"/>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default" w:cs="宋体"/>
                <w:b/>
                <w:color w:val="000000"/>
                <w:sz w:val="20"/>
                <w:szCs w:val="20"/>
              </w:rPr>
            </w:pPr>
          </w:p>
        </w:tc>
      </w:tr>
      <w:tr>
        <w:tblPrEx>
          <w:tblCellMar>
            <w:top w:w="0" w:type="dxa"/>
            <w:left w:w="0" w:type="dxa"/>
            <w:bottom w:w="0" w:type="dxa"/>
            <w:right w:w="0" w:type="dxa"/>
          </w:tblCellMar>
        </w:tblPrEx>
        <w:trPr>
          <w:trHeight w:val="611" w:hRule="atLeast"/>
        </w:trPr>
        <w:tc>
          <w:tcPr>
            <w:tcW w:w="1607" w:type="pct"/>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textAlignment w:val="center"/>
              <w:rPr>
                <w:rFonts w:hint="default" w:cs="宋体"/>
                <w:b/>
                <w:color w:val="000000"/>
                <w:sz w:val="20"/>
                <w:szCs w:val="20"/>
              </w:rPr>
            </w:pPr>
            <w:r>
              <w:rPr>
                <w:rFonts w:cs="宋体"/>
                <w:b/>
                <w:color w:val="000000"/>
                <w:sz w:val="20"/>
                <w:szCs w:val="20"/>
              </w:rPr>
              <w:t>合计</w:t>
            </w:r>
          </w:p>
        </w:tc>
        <w:tc>
          <w:tcPr>
            <w:tcW w:w="1130"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c>
          <w:tcPr>
            <w:tcW w:w="113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default" w:cs="宋体"/>
                <w:b/>
                <w:color w:val="000000"/>
                <w:sz w:val="20"/>
                <w:szCs w:val="20"/>
              </w:rPr>
            </w:pPr>
          </w:p>
        </w:tc>
        <w:tc>
          <w:tcPr>
            <w:tcW w:w="1133" w:type="pct"/>
            <w:gridSpan w:val="2"/>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wordWrap w:val="0"/>
              <w:jc w:val="right"/>
              <w:textAlignment w:val="center"/>
              <w:rPr>
                <w:rFonts w:hint="default" w:cs="宋体"/>
                <w:b/>
                <w:color w:val="000000"/>
                <w:sz w:val="20"/>
                <w:szCs w:val="20"/>
              </w:rPr>
            </w:pPr>
            <w:r>
              <w:rPr>
                <w:b/>
                <w:color w:val="000000"/>
                <w:sz w:val="20"/>
                <w:u w:color="auto"/>
              </w:rPr>
              <w:t xml:space="preserve"> </w:t>
            </w:r>
          </w:p>
        </w:tc>
      </w:tr>
    </w:tbl>
    <w:p>
      <w:pPr>
        <w:rPr>
          <w:rFonts w:hint="default" w:cs="宋体"/>
          <w:sz w:val="21"/>
          <w:szCs w:val="21"/>
        </w:rPr>
      </w:pPr>
      <w:r>
        <w:rPr>
          <w:rFonts w:cs="宋体"/>
          <w:sz w:val="20"/>
          <w:szCs w:val="20"/>
        </w:rPr>
        <w:t>备注：本表反映部门本年度国有资本经营预算财政拨款支出情况。本部门无国有资本经营收支，故本表无数据。</w:t>
      </w:r>
      <w:r>
        <w:rPr>
          <w:rFonts w:cs="宋体"/>
          <w:sz w:val="20"/>
          <w:szCs w:val="20"/>
        </w:rPr>
        <w:br w:type="textWrapping"/>
      </w:r>
      <w:r>
        <w:rPr>
          <w:rFonts w:cs="宋体"/>
          <w:sz w:val="20"/>
          <w:szCs w:val="20"/>
        </w:rPr>
        <w:br w:type="textWrapping"/>
      </w:r>
    </w:p>
    <w:p>
      <w:pPr>
        <w:rPr>
          <w:rFonts w:hint="default" w:cs="宋体"/>
          <w:sz w:val="21"/>
          <w:szCs w:val="21"/>
        </w:rPr>
      </w:pPr>
      <w:r>
        <w:rPr>
          <w:rFonts w:hint="default" w:cs="宋体"/>
          <w:sz w:val="21"/>
          <w:szCs w:val="21"/>
        </w:rPr>
        <w:br w:type="page"/>
      </w:r>
    </w:p>
    <w:tbl>
      <w:tblPr>
        <w:tblStyle w:val="8"/>
        <w:tblW w:w="4850" w:type="pct"/>
        <w:tblInd w:w="0" w:type="dxa"/>
        <w:tblLayout w:type="fixed"/>
        <w:tblCellMar>
          <w:top w:w="0" w:type="dxa"/>
          <w:left w:w="170" w:type="dxa"/>
          <w:bottom w:w="0" w:type="dxa"/>
          <w:right w:w="170" w:type="dxa"/>
        </w:tblCellMar>
      </w:tblPr>
      <w:tblGrid>
        <w:gridCol w:w="4004"/>
        <w:gridCol w:w="2146"/>
        <w:gridCol w:w="2093"/>
        <w:gridCol w:w="4482"/>
        <w:gridCol w:w="2137"/>
      </w:tblGrid>
      <w:tr>
        <w:tblPrEx>
          <w:tblCellMar>
            <w:top w:w="0" w:type="dxa"/>
            <w:left w:w="170" w:type="dxa"/>
            <w:bottom w:w="0" w:type="dxa"/>
            <w:right w:w="170" w:type="dxa"/>
          </w:tblCellMar>
        </w:tblPrEx>
        <w:trPr>
          <w:trHeight w:val="343" w:hRule="atLeast"/>
        </w:trPr>
        <w:tc>
          <w:tcPr>
            <w:tcW w:w="5000" w:type="pct"/>
            <w:gridSpan w:val="5"/>
            <w:shd w:val="clear" w:color="auto" w:fill="auto"/>
            <w:noWrap/>
            <w:tcMar>
              <w:top w:w="15" w:type="dxa"/>
              <w:left w:w="15" w:type="dxa"/>
              <w:right w:w="15" w:type="dxa"/>
            </w:tcMar>
            <w:vAlign w:val="bottom"/>
          </w:tcPr>
          <w:p>
            <w:pPr>
              <w:spacing w:line="400" w:lineRule="exact"/>
              <w:jc w:val="center"/>
              <w:textAlignment w:val="bottom"/>
              <w:rPr>
                <w:rFonts w:hint="default" w:cs="宋体"/>
                <w:b/>
                <w:color w:val="000000"/>
                <w:kern w:val="2"/>
                <w:sz w:val="32"/>
                <w:szCs w:val="32"/>
              </w:rPr>
            </w:pPr>
            <w:r>
              <w:rPr>
                <w:rFonts w:cs="宋体"/>
                <w:b/>
                <w:color w:val="000000"/>
                <w:kern w:val="2"/>
                <w:sz w:val="32"/>
                <w:szCs w:val="32"/>
              </w:rPr>
              <w:t>机构运行信息表</w:t>
            </w:r>
          </w:p>
        </w:tc>
      </w:tr>
      <w:tr>
        <w:tblPrEx>
          <w:tblCellMar>
            <w:top w:w="0" w:type="dxa"/>
            <w:left w:w="170" w:type="dxa"/>
            <w:bottom w:w="0" w:type="dxa"/>
            <w:right w:w="170" w:type="dxa"/>
          </w:tblCellMar>
        </w:tblPrEx>
        <w:trPr>
          <w:trHeight w:val="244" w:hRule="atLeast"/>
        </w:trPr>
        <w:tc>
          <w:tcPr>
            <w:tcW w:w="1347" w:type="pct"/>
            <w:shd w:val="clear" w:color="auto" w:fill="auto"/>
            <w:noWrap/>
            <w:tcMar>
              <w:top w:w="15" w:type="dxa"/>
              <w:left w:w="15" w:type="dxa"/>
              <w:right w:w="15" w:type="dxa"/>
            </w:tcMar>
            <w:vAlign w:val="bottom"/>
          </w:tcPr>
          <w:p>
            <w:pPr>
              <w:spacing w:line="280" w:lineRule="exact"/>
              <w:rPr>
                <w:rFonts w:hint="default" w:cs="宋体"/>
                <w:color w:val="000000"/>
                <w:kern w:val="2"/>
                <w:sz w:val="20"/>
                <w:szCs w:val="20"/>
              </w:rPr>
            </w:pPr>
          </w:p>
        </w:tc>
        <w:tc>
          <w:tcPr>
            <w:tcW w:w="722" w:type="pct"/>
            <w:shd w:val="clear" w:color="auto" w:fill="auto"/>
            <w:noWrap/>
            <w:tcMar>
              <w:top w:w="15" w:type="dxa"/>
              <w:left w:w="15" w:type="dxa"/>
              <w:right w:w="15" w:type="dxa"/>
            </w:tcMar>
            <w:vAlign w:val="bottom"/>
          </w:tcPr>
          <w:p>
            <w:pPr>
              <w:spacing w:line="280" w:lineRule="exact"/>
              <w:jc w:val="center"/>
              <w:rPr>
                <w:rFonts w:hint="default" w:cs="宋体"/>
                <w:color w:val="000000"/>
                <w:kern w:val="2"/>
                <w:sz w:val="20"/>
                <w:szCs w:val="20"/>
              </w:rPr>
            </w:pPr>
          </w:p>
        </w:tc>
        <w:tc>
          <w:tcPr>
            <w:tcW w:w="704" w:type="pct"/>
            <w:shd w:val="clear" w:color="auto" w:fill="auto"/>
            <w:noWrap/>
            <w:tcMar>
              <w:top w:w="15" w:type="dxa"/>
              <w:left w:w="15" w:type="dxa"/>
              <w:right w:w="15" w:type="dxa"/>
            </w:tcMar>
            <w:vAlign w:val="bottom"/>
          </w:tcPr>
          <w:p>
            <w:pPr>
              <w:spacing w:line="280" w:lineRule="exact"/>
              <w:jc w:val="right"/>
              <w:rPr>
                <w:rFonts w:hint="default" w:cs="宋体"/>
                <w:color w:val="000000"/>
                <w:kern w:val="2"/>
                <w:sz w:val="20"/>
                <w:szCs w:val="20"/>
              </w:rPr>
            </w:pPr>
          </w:p>
        </w:tc>
        <w:tc>
          <w:tcPr>
            <w:tcW w:w="1508" w:type="pct"/>
            <w:shd w:val="clear" w:color="auto" w:fill="auto"/>
            <w:noWrap/>
            <w:tcMar>
              <w:top w:w="15" w:type="dxa"/>
              <w:left w:w="15" w:type="dxa"/>
              <w:right w:w="15" w:type="dxa"/>
            </w:tcMar>
            <w:vAlign w:val="bottom"/>
          </w:tcPr>
          <w:p>
            <w:pPr>
              <w:spacing w:line="280" w:lineRule="exact"/>
              <w:rPr>
                <w:rFonts w:hint="default" w:cs="宋体"/>
                <w:color w:val="000000"/>
                <w:kern w:val="2"/>
                <w:sz w:val="20"/>
                <w:szCs w:val="20"/>
              </w:rPr>
            </w:pPr>
          </w:p>
        </w:tc>
        <w:tc>
          <w:tcPr>
            <w:tcW w:w="719" w:type="pct"/>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kern w:val="2"/>
                <w:sz w:val="20"/>
                <w:szCs w:val="20"/>
              </w:rPr>
            </w:pPr>
            <w:r>
              <w:rPr>
                <w:rFonts w:cs="宋体"/>
                <w:color w:val="000000"/>
                <w:kern w:val="2"/>
                <w:sz w:val="20"/>
                <w:szCs w:val="20"/>
              </w:rPr>
              <w:t>公开09表</w:t>
            </w:r>
          </w:p>
        </w:tc>
      </w:tr>
      <w:tr>
        <w:tblPrEx>
          <w:tblCellMar>
            <w:top w:w="0" w:type="dxa"/>
            <w:left w:w="170" w:type="dxa"/>
            <w:bottom w:w="0" w:type="dxa"/>
            <w:right w:w="170" w:type="dxa"/>
          </w:tblCellMar>
        </w:tblPrEx>
        <w:trPr>
          <w:trHeight w:val="244" w:hRule="atLeast"/>
        </w:trPr>
        <w:tc>
          <w:tcPr>
            <w:tcW w:w="2069" w:type="pct"/>
            <w:gridSpan w:val="2"/>
            <w:tcBorders>
              <w:top w:val="nil"/>
              <w:left w:val="nil"/>
              <w:bottom w:val="single" w:color="auto" w:sz="4" w:space="0"/>
              <w:right w:val="nil"/>
            </w:tcBorders>
            <w:shd w:val="clear" w:color="auto" w:fill="auto"/>
            <w:noWrap/>
            <w:tcMar>
              <w:top w:w="15" w:type="dxa"/>
              <w:left w:w="15" w:type="dxa"/>
              <w:right w:w="15" w:type="dxa"/>
            </w:tcMar>
            <w:vAlign w:val="bottom"/>
          </w:tcPr>
          <w:p>
            <w:pPr>
              <w:spacing w:line="280" w:lineRule="exact"/>
              <w:rPr>
                <w:rFonts w:hint="default" w:cs="宋体"/>
                <w:color w:val="000000"/>
                <w:kern w:val="2"/>
                <w:sz w:val="20"/>
                <w:szCs w:val="20"/>
              </w:rPr>
            </w:pPr>
            <w:r>
              <w:rPr>
                <w:rFonts w:cs="宋体"/>
                <w:kern w:val="2"/>
                <w:sz w:val="20"/>
                <w:szCs w:val="20"/>
              </w:rPr>
              <w:t>公开部门</w:t>
            </w:r>
            <w:r>
              <w:rPr>
                <w:rFonts w:cs="宋体"/>
                <w:color w:val="000000"/>
                <w:kern w:val="2"/>
                <w:sz w:val="20"/>
                <w:szCs w:val="20"/>
              </w:rPr>
              <w:t xml:space="preserve">： </w:t>
            </w:r>
            <w:r>
              <w:rPr>
                <w:color w:val="000000"/>
                <w:sz w:val="20"/>
                <w:u w:color="auto"/>
              </w:rPr>
              <w:t>重庆市忠县黄金镇人民政府</w:t>
            </w:r>
          </w:p>
        </w:tc>
        <w:tc>
          <w:tcPr>
            <w:tcW w:w="704" w:type="pct"/>
            <w:tcBorders>
              <w:top w:val="nil"/>
              <w:left w:val="nil"/>
              <w:bottom w:val="single" w:color="auto" w:sz="4" w:space="0"/>
              <w:right w:val="nil"/>
            </w:tcBorders>
            <w:shd w:val="clear" w:color="auto" w:fill="auto"/>
            <w:noWrap/>
            <w:tcMar>
              <w:top w:w="15" w:type="dxa"/>
              <w:left w:w="15" w:type="dxa"/>
              <w:right w:w="15" w:type="dxa"/>
            </w:tcMar>
            <w:vAlign w:val="bottom"/>
          </w:tcPr>
          <w:p>
            <w:pPr>
              <w:spacing w:line="280" w:lineRule="exact"/>
              <w:jc w:val="right"/>
              <w:rPr>
                <w:rFonts w:hint="default" w:cs="宋体"/>
                <w:color w:val="000000"/>
                <w:kern w:val="2"/>
                <w:sz w:val="20"/>
                <w:szCs w:val="20"/>
              </w:rPr>
            </w:pPr>
          </w:p>
        </w:tc>
        <w:tc>
          <w:tcPr>
            <w:tcW w:w="1508" w:type="pct"/>
            <w:tcBorders>
              <w:top w:val="nil"/>
              <w:left w:val="nil"/>
              <w:bottom w:val="single" w:color="auto" w:sz="4" w:space="0"/>
              <w:right w:val="nil"/>
            </w:tcBorders>
            <w:shd w:val="clear" w:color="auto" w:fill="auto"/>
            <w:noWrap/>
            <w:tcMar>
              <w:top w:w="15" w:type="dxa"/>
              <w:left w:w="15" w:type="dxa"/>
              <w:right w:w="15" w:type="dxa"/>
            </w:tcMar>
            <w:vAlign w:val="bottom"/>
          </w:tcPr>
          <w:p>
            <w:pPr>
              <w:spacing w:line="280" w:lineRule="exact"/>
              <w:rPr>
                <w:rFonts w:hint="default" w:cs="宋体"/>
                <w:color w:val="000000"/>
                <w:kern w:val="2"/>
                <w:sz w:val="20"/>
                <w:szCs w:val="20"/>
              </w:rPr>
            </w:pPr>
          </w:p>
        </w:tc>
        <w:tc>
          <w:tcPr>
            <w:tcW w:w="719" w:type="pct"/>
            <w:tcBorders>
              <w:top w:val="nil"/>
              <w:left w:val="nil"/>
              <w:bottom w:val="single" w:color="auto" w:sz="4" w:space="0"/>
              <w:right w:val="nil"/>
            </w:tcBorders>
            <w:shd w:val="clear" w:color="auto" w:fill="auto"/>
            <w:noWrap/>
            <w:tcMar>
              <w:top w:w="15" w:type="dxa"/>
              <w:left w:w="15" w:type="dxa"/>
              <w:right w:w="15" w:type="dxa"/>
            </w:tcMar>
            <w:vAlign w:val="bottom"/>
          </w:tcPr>
          <w:p>
            <w:pPr>
              <w:spacing w:line="280" w:lineRule="exact"/>
              <w:jc w:val="right"/>
              <w:textAlignment w:val="bottom"/>
              <w:rPr>
                <w:rFonts w:hint="default" w:cs="宋体"/>
                <w:color w:val="000000"/>
                <w:kern w:val="2"/>
                <w:sz w:val="20"/>
                <w:szCs w:val="20"/>
              </w:rPr>
            </w:pPr>
            <w:r>
              <w:rPr>
                <w:rFonts w:cs="宋体"/>
                <w:color w:val="000000"/>
                <w:kern w:val="2"/>
                <w:sz w:val="20"/>
                <w:szCs w:val="20"/>
              </w:rPr>
              <w:t>单位：</w:t>
            </w:r>
            <w:r>
              <w:rPr>
                <w:rFonts w:cs="宋体"/>
                <w:kern w:val="2"/>
                <w:sz w:val="20"/>
                <w:szCs w:val="20"/>
              </w:rPr>
              <w:t>万元</w:t>
            </w:r>
          </w:p>
        </w:tc>
      </w:tr>
      <w:tr>
        <w:tblPrEx>
          <w:tblCellMar>
            <w:top w:w="0" w:type="dxa"/>
            <w:left w:w="170" w:type="dxa"/>
            <w:bottom w:w="0" w:type="dxa"/>
            <w:right w:w="170" w:type="dxa"/>
          </w:tblCellMar>
        </w:tblPrEx>
        <w:trPr>
          <w:trHeight w:val="282" w:hRule="atLeast"/>
        </w:trPr>
        <w:tc>
          <w:tcPr>
            <w:tcW w:w="1347"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jc w:val="center"/>
              <w:textAlignment w:val="center"/>
              <w:rPr>
                <w:rFonts w:hint="default" w:cs="宋体"/>
                <w:b/>
                <w:color w:val="000000"/>
                <w:kern w:val="2"/>
                <w:sz w:val="16"/>
                <w:szCs w:val="16"/>
              </w:rPr>
            </w:pPr>
            <w:r>
              <w:rPr>
                <w:rFonts w:cs="宋体"/>
                <w:b/>
                <w:color w:val="000000"/>
                <w:kern w:val="2"/>
                <w:sz w:val="16"/>
                <w:szCs w:val="16"/>
              </w:rPr>
              <w:t>项  目</w:t>
            </w:r>
          </w:p>
        </w:tc>
        <w:tc>
          <w:tcPr>
            <w:tcW w:w="722"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jc w:val="center"/>
              <w:textAlignment w:val="center"/>
              <w:rPr>
                <w:rFonts w:hint="default" w:cs="宋体"/>
                <w:b/>
                <w:color w:val="000000"/>
                <w:kern w:val="2"/>
                <w:sz w:val="16"/>
                <w:szCs w:val="16"/>
              </w:rPr>
            </w:pPr>
            <w:r>
              <w:rPr>
                <w:rFonts w:cs="宋体"/>
                <w:b/>
                <w:color w:val="000000"/>
                <w:kern w:val="2"/>
                <w:sz w:val="16"/>
                <w:szCs w:val="16"/>
              </w:rPr>
              <w:t>预算数</w:t>
            </w:r>
          </w:p>
        </w:tc>
        <w:tc>
          <w:tcPr>
            <w:tcW w:w="704"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jc w:val="center"/>
              <w:textAlignment w:val="center"/>
              <w:rPr>
                <w:rFonts w:hint="default" w:cs="宋体"/>
                <w:b/>
                <w:color w:val="000000"/>
                <w:kern w:val="2"/>
                <w:sz w:val="16"/>
                <w:szCs w:val="16"/>
              </w:rPr>
            </w:pPr>
            <w:r>
              <w:rPr>
                <w:rFonts w:cs="宋体"/>
                <w:b/>
                <w:color w:val="000000"/>
                <w:kern w:val="2"/>
                <w:sz w:val="16"/>
                <w:szCs w:val="16"/>
              </w:rPr>
              <w:t>决算数</w:t>
            </w:r>
          </w:p>
        </w:tc>
        <w:tc>
          <w:tcPr>
            <w:tcW w:w="1508"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jc w:val="center"/>
              <w:textAlignment w:val="center"/>
              <w:rPr>
                <w:rFonts w:hint="default" w:cs="宋体"/>
                <w:b/>
                <w:color w:val="000000"/>
                <w:kern w:val="2"/>
                <w:sz w:val="16"/>
                <w:szCs w:val="16"/>
              </w:rPr>
            </w:pPr>
            <w:r>
              <w:rPr>
                <w:rFonts w:cs="宋体"/>
                <w:b/>
                <w:color w:val="000000"/>
                <w:kern w:val="2"/>
                <w:sz w:val="16"/>
                <w:szCs w:val="16"/>
              </w:rPr>
              <w:t>项  目</w:t>
            </w:r>
          </w:p>
        </w:tc>
        <w:tc>
          <w:tcPr>
            <w:tcW w:w="719"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jc w:val="center"/>
              <w:textAlignment w:val="center"/>
              <w:rPr>
                <w:rFonts w:hint="default" w:cs="宋体"/>
                <w:b/>
                <w:color w:val="000000"/>
                <w:kern w:val="2"/>
                <w:sz w:val="16"/>
                <w:szCs w:val="16"/>
              </w:rPr>
            </w:pPr>
            <w:r>
              <w:rPr>
                <w:rFonts w:cs="宋体"/>
                <w:b/>
                <w:color w:val="000000"/>
                <w:kern w:val="2"/>
                <w:sz w:val="16"/>
                <w:szCs w:val="16"/>
              </w:rPr>
              <w:t>决算数</w:t>
            </w:r>
          </w:p>
        </w:tc>
      </w:tr>
      <w:tr>
        <w:tblPrEx>
          <w:tblCellMar>
            <w:top w:w="0" w:type="dxa"/>
            <w:left w:w="170" w:type="dxa"/>
            <w:bottom w:w="0" w:type="dxa"/>
            <w:right w:w="170" w:type="dxa"/>
          </w:tblCellMar>
        </w:tblPrEx>
        <w:trPr>
          <w:trHeight w:val="282" w:hRule="atLeast"/>
        </w:trPr>
        <w:tc>
          <w:tcPr>
            <w:tcW w:w="1347"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一、“三公”经费支出</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704"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1508"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四、机关运行经费</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136.00</w:t>
            </w: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（一）支出合计</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8.25</w:t>
            </w:r>
            <w:r>
              <w:rPr>
                <w:color w:val="000000"/>
                <w:sz w:val="16"/>
                <w:u w:color="auto"/>
              </w:rPr>
              <w:t xml:space="preserve"> </w:t>
            </w:r>
          </w:p>
        </w:tc>
        <w:tc>
          <w:tcPr>
            <w:tcW w:w="704"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8.25</w:t>
            </w: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（一）行政单位</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136.00</w:t>
            </w: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1．因公出国（境）费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704"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（二）参照公务员法管理事业单位</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2．公务用车购置及运行维护费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6.00</w:t>
            </w:r>
            <w:r>
              <w:rPr>
                <w:color w:val="000000"/>
                <w:sz w:val="16"/>
                <w:u w:color="auto"/>
              </w:rPr>
              <w:t xml:space="preserve"> </w:t>
            </w:r>
          </w:p>
        </w:tc>
        <w:tc>
          <w:tcPr>
            <w:tcW w:w="704"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6.00</w:t>
            </w: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五、资产信息</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（1）公务用车购置费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704"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（一）车辆数合计（辆）</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3</w:t>
            </w: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（2）公务用车运行维护费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6.00</w:t>
            </w:r>
            <w:r>
              <w:rPr>
                <w:color w:val="000000"/>
                <w:sz w:val="16"/>
                <w:u w:color="auto"/>
              </w:rPr>
              <w:t xml:space="preserve"> </w:t>
            </w:r>
          </w:p>
        </w:tc>
        <w:tc>
          <w:tcPr>
            <w:tcW w:w="704"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6.00</w:t>
            </w: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1．副部（省）级及以上领导用车</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3．公务接待费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2.25</w:t>
            </w:r>
            <w:r>
              <w:rPr>
                <w:color w:val="000000"/>
                <w:sz w:val="16"/>
                <w:u w:color="auto"/>
              </w:rPr>
              <w:t xml:space="preserve"> </w:t>
            </w:r>
          </w:p>
        </w:tc>
        <w:tc>
          <w:tcPr>
            <w:tcW w:w="704"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2.25</w:t>
            </w: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2．主要领导干部用车</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（1）国内接待费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704"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2.25</w:t>
            </w: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3．机要通信用车</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其中：外事接待费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704"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4．应急保障用车</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3</w:t>
            </w: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（2）国（境）外接待费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704"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5．执法执勤用车</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（二）相关统计数</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704"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1508" w:type="pct"/>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6．特种专业技术用车</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1．因公出国（境）团组数（个）</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704"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7．离退休干部用车</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2．因公出国（境）人次数（人）</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704"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8．其他用车</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3．公务用车购置数（辆）</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704"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（二）单价100万元（含）以上设备（不含车辆）</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4．公务用车保有量（辆）</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704"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3</w:t>
            </w: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六、政府采购支出信息</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5．国内公务接待批次（个）</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704"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94</w:t>
            </w: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（一）政府采购支出合计</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其中：外事接待批次（个）</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704"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1．政府采购货物支出</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6．国内公务接待人次（人）</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704"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504</w:t>
            </w: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2．政府采购工程支出</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其中：外事接待人次（人）</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704"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3．政府采购服务支出</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7．国（境）外公务接待批次（个）</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704"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（二）政府采购授予中小企业合同金额</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r>
      <w:tr>
        <w:tblPrEx>
          <w:tblCellMar>
            <w:top w:w="0" w:type="dxa"/>
            <w:left w:w="170" w:type="dxa"/>
            <w:bottom w:w="0" w:type="dxa"/>
            <w:right w:w="170" w:type="dxa"/>
          </w:tblCellMar>
        </w:tblPrEx>
        <w:trPr>
          <w:trHeight w:val="292" w:hRule="atLeast"/>
        </w:trPr>
        <w:tc>
          <w:tcPr>
            <w:tcW w:w="1347" w:type="pct"/>
            <w:tcBorders>
              <w:top w:val="single" w:color="auto" w:sz="4" w:space="0"/>
              <w:left w:val="single" w:color="auto" w:sz="4" w:space="0"/>
              <w:bottom w:val="single" w:color="auto" w:sz="4" w:space="0"/>
              <w:right w:val="single" w:color="auto" w:sz="4" w:space="0"/>
            </w:tcBorders>
            <w:shd w:val="clear" w:color="auto" w:fill="BFBFBF"/>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8．国（境）外公务接待人次（人）</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704" w:type="pct"/>
            <w:tcBorders>
              <w:top w:val="single" w:color="auto" w:sz="4" w:space="0"/>
              <w:left w:val="single" w:color="auto" w:sz="4" w:space="0"/>
              <w:bottom w:val="single" w:color="auto" w:sz="4" w:space="0"/>
              <w:right w:val="single" w:color="auto" w:sz="4" w:space="0"/>
            </w:tcBorders>
            <w:shd w:val="clear" w:color="auto" w:fill="FFFFFF"/>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 xml:space="preserve">        其中：授予小微企业合同金额</w:t>
            </w: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r>
      <w:tr>
        <w:tblPrEx>
          <w:tblCellMar>
            <w:top w:w="0" w:type="dxa"/>
            <w:left w:w="170" w:type="dxa"/>
            <w:bottom w:w="0" w:type="dxa"/>
            <w:right w:w="170" w:type="dxa"/>
          </w:tblCellMar>
        </w:tblPrEx>
        <w:trPr>
          <w:trHeight w:val="286" w:hRule="atLeast"/>
        </w:trPr>
        <w:tc>
          <w:tcPr>
            <w:tcW w:w="1347"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二、会议费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704"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rPr>
                <w:rFonts w:hint="default" w:cs="宋体"/>
                <w:color w:val="000000"/>
                <w:kern w:val="2"/>
                <w:sz w:val="16"/>
                <w:szCs w:val="16"/>
              </w:rPr>
            </w:pP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rPr>
                <w:rFonts w:hint="default" w:cs="宋体"/>
                <w:color w:val="000000"/>
                <w:kern w:val="2"/>
                <w:sz w:val="16"/>
                <w:szCs w:val="16"/>
              </w:rPr>
            </w:pPr>
          </w:p>
        </w:tc>
      </w:tr>
      <w:tr>
        <w:tblPrEx>
          <w:tblCellMar>
            <w:top w:w="0" w:type="dxa"/>
            <w:left w:w="170" w:type="dxa"/>
            <w:bottom w:w="0" w:type="dxa"/>
            <w:right w:w="170" w:type="dxa"/>
          </w:tblCellMar>
        </w:tblPrEx>
        <w:trPr>
          <w:trHeight w:val="389" w:hRule="atLeast"/>
        </w:trPr>
        <w:tc>
          <w:tcPr>
            <w:tcW w:w="1347"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textAlignment w:val="center"/>
              <w:rPr>
                <w:rFonts w:hint="default" w:cs="宋体"/>
                <w:color w:val="000000"/>
                <w:kern w:val="2"/>
                <w:sz w:val="16"/>
                <w:szCs w:val="16"/>
              </w:rPr>
            </w:pPr>
            <w:r>
              <w:rPr>
                <w:rFonts w:cs="宋体"/>
                <w:color w:val="000000"/>
                <w:kern w:val="2"/>
                <w:sz w:val="16"/>
                <w:szCs w:val="16"/>
              </w:rPr>
              <w:t>三、培训费</w:t>
            </w:r>
          </w:p>
        </w:tc>
        <w:tc>
          <w:tcPr>
            <w:tcW w:w="722"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pPr>
              <w:spacing w:line="200" w:lineRule="exact"/>
              <w:jc w:val="center"/>
              <w:textAlignment w:val="center"/>
              <w:rPr>
                <w:rFonts w:hint="default" w:cs="宋体"/>
                <w:color w:val="000000"/>
                <w:kern w:val="2"/>
                <w:sz w:val="16"/>
                <w:szCs w:val="16"/>
              </w:rPr>
            </w:pPr>
            <w:r>
              <w:rPr>
                <w:rFonts w:cs="宋体"/>
                <w:color w:val="000000"/>
                <w:kern w:val="2"/>
                <w:sz w:val="16"/>
                <w:szCs w:val="16"/>
              </w:rPr>
              <w:t>—</w:t>
            </w:r>
          </w:p>
        </w:tc>
        <w:tc>
          <w:tcPr>
            <w:tcW w:w="704"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textAlignment w:val="bottom"/>
              <w:rPr>
                <w:rFonts w:hint="default" w:cs="宋体"/>
                <w:color w:val="000000"/>
                <w:kern w:val="2"/>
                <w:sz w:val="16"/>
                <w:szCs w:val="16"/>
              </w:rPr>
            </w:pPr>
            <w:r>
              <w:rPr>
                <w:rFonts w:cs="宋体"/>
                <w:color w:val="000000"/>
                <w:kern w:val="2"/>
                <w:sz w:val="16"/>
                <w:szCs w:val="16"/>
              </w:rPr>
              <w:t>6.10</w:t>
            </w:r>
            <w:r>
              <w:rPr>
                <w:color w:val="000000"/>
                <w:sz w:val="16"/>
                <w:u w:color="auto"/>
              </w:rPr>
              <w:t xml:space="preserve"> </w:t>
            </w:r>
          </w:p>
        </w:tc>
        <w:tc>
          <w:tcPr>
            <w:tcW w:w="1508" w:type="pct"/>
            <w:tcBorders>
              <w:top w:val="single" w:color="auto" w:sz="4" w:space="0"/>
              <w:left w:val="single" w:color="auto" w:sz="4" w:space="0"/>
              <w:bottom w:val="single" w:color="auto" w:sz="4" w:space="0"/>
              <w:right w:val="single" w:color="auto" w:sz="4" w:space="0"/>
            </w:tcBorders>
            <w:shd w:val="clear" w:color="auto" w:fill="C0C0C0"/>
            <w:noWrap/>
            <w:tcMar>
              <w:top w:w="15" w:type="dxa"/>
              <w:left w:w="15" w:type="dxa"/>
              <w:right w:w="15" w:type="dxa"/>
            </w:tcMar>
            <w:vAlign w:val="center"/>
          </w:tcPr>
          <w:p>
            <w:pPr>
              <w:spacing w:line="200" w:lineRule="exact"/>
              <w:rPr>
                <w:rFonts w:hint="default" w:cs="宋体"/>
                <w:color w:val="000000"/>
                <w:kern w:val="2"/>
                <w:sz w:val="16"/>
                <w:szCs w:val="16"/>
              </w:rPr>
            </w:pPr>
          </w:p>
        </w:tc>
        <w:tc>
          <w:tcPr>
            <w:tcW w:w="719"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bottom"/>
          </w:tcPr>
          <w:p>
            <w:pPr>
              <w:spacing w:line="200" w:lineRule="exact"/>
              <w:jc w:val="right"/>
              <w:rPr>
                <w:rFonts w:hint="default" w:cs="宋体"/>
                <w:color w:val="000000"/>
                <w:kern w:val="2"/>
                <w:sz w:val="16"/>
                <w:szCs w:val="16"/>
              </w:rPr>
            </w:pPr>
          </w:p>
        </w:tc>
      </w:tr>
    </w:tbl>
    <w:p>
      <w:pPr>
        <w:rPr>
          <w:rFonts w:hint="default"/>
        </w:rPr>
      </w:pPr>
      <w:r>
        <w:rPr>
          <w:rFonts w:cs="宋体"/>
          <w:sz w:val="20"/>
          <w:szCs w:val="20"/>
        </w:rPr>
        <w:t>备注：1.本表反映部门本年度财政拨款“三公”经费支出预决算情况。其中，预算数为“三公”经费全年预算数，反映按规定程序调整后的预算数；决算数为包括本年度财政拨款和以前年度结转资金安排的实际支出。</w:t>
      </w:r>
      <w:r>
        <w:rPr>
          <w:rFonts w:cs="宋体"/>
          <w:sz w:val="20"/>
          <w:szCs w:val="20"/>
        </w:rPr>
        <w:br w:type="textWrapping"/>
      </w:r>
      <w:r>
        <w:rPr>
          <w:rFonts w:cs="宋体"/>
          <w:sz w:val="20"/>
          <w:szCs w:val="20"/>
        </w:rPr>
        <w:t xml:space="preserve">      2.本套报表金额单位转换时可能存在尾数误差。</w:t>
      </w:r>
      <w:r>
        <w:rPr>
          <w:rFonts w:cs="宋体"/>
          <w:sz w:val="20"/>
          <w:szCs w:val="20"/>
        </w:rPr>
        <w:br w:type="textWrapping"/>
      </w:r>
      <w:r>
        <w:rPr>
          <w:rFonts w:cs="宋体"/>
          <w:sz w:val="20"/>
          <w:szCs w:val="20"/>
        </w:rPr>
        <w:br w:type="textWrapping"/>
      </w:r>
    </w:p>
    <w:sectPr>
      <w:headerReference r:id="rId4" w:type="default"/>
      <w:footerReference r:id="rId5" w:type="default"/>
      <w:pgSz w:w="16783" w:h="11850" w:orient="landscape"/>
      <w:pgMar w:top="567" w:right="454" w:bottom="567" w:left="1037" w:header="0" w:footer="283" w:gutter="0"/>
      <w:pgNumType w:fmt="numberInDash"/>
      <w:cols w:space="720" w:num="1"/>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Arial">
    <w:panose1 w:val="020B0604020202020204"/>
    <w:charset w:val="00"/>
    <w:family w:val="swiss"/>
    <w:pitch w:val="default"/>
    <w:sig w:usb0="E0002EFF" w:usb1="C000785B" w:usb2="00000009" w:usb3="00000000" w:csb0="400001FF" w:csb1="FFFF0000"/>
  </w:font>
  <w:font w:name="方正楷体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rPr>
        <w:rFonts w:hint="default"/>
      </w:rPr>
    </w:pPr>
    <w:r>
      <w:rPr>
        <w:rFonts w:hint="default"/>
      </w:rPr>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path/>
          <v:fill on="f" focussize="0,0"/>
          <v:stroke on="f" weight="0.5pt" joinstyle="miter"/>
          <v:imagedata o:title=""/>
          <o:lock v:ext="edit"/>
          <v:textbox inset="0mm,0mm,0mm,0mm" style="mso-fit-shape-to-text:t;">
            <w:txbxContent>
              <w:p>
                <w:pPr>
                  <w:pStyle w:val="4"/>
                  <w:rPr>
                    <w:rFonts w:hint="default"/>
                  </w:rPr>
                </w:pPr>
                <w:r>
                  <w:fldChar w:fldCharType="begin"/>
                </w:r>
                <w:r>
                  <w:instrText xml:space="preserve"> PAGE  \* MERGEFORMAT </w:instrText>
                </w:r>
                <w:r>
                  <w:fldChar w:fldCharType="separate"/>
                </w:r>
                <w:r>
                  <w:rPr>
                    <w:rFonts w:hint="default"/>
                  </w:rPr>
                  <w:t>- 24 -</w:t>
                </w:r>
                <w: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both"/>
      <w:rPr>
        <w:rFonts w:hint="default"/>
      </w:rPr>
    </w:pPr>
    <w:r>
      <w:rPr>
        <w:rFonts w:hint="default"/>
      </w:rPr>
      <w:pict>
        <v:shape id="_x0000_s1028" o:spid="_x0000_s1028" o:spt="202" type="#_x0000_t202" style="position:absolute;left:0pt;margin-top:0pt;height:144pt;width:144pt;mso-position-horizontal:center;mso-position-horizontal-relative:margin;mso-wrap-style:none;z-index:251660288;mso-width-relative:page;mso-height-relative:page;" filled="f" stroked="f" coordsize="21600,21600" o:allowoverlap="f"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OYorozAgAAZwQAAA4AAABkcnMvZTJvRG9jLnhtbK1UzY7TMBC+I/EO&#10;lu80aRFL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OYorozAgAAZwQAAA4AAAAAAAAAAQAgAAAAHwEAAGRycy9lMm9Eb2MueG1sUEsF&#10;BgAAAAAGAAYAWQEAAMQFAAAAAA==&#10;">
          <v:path/>
          <v:fill on="f" focussize="0,0"/>
          <v:stroke on="f" weight="0.5pt" joinstyle="miter"/>
          <v:imagedata o:title=""/>
          <o:lock v:ext="edit"/>
          <v:textbox inset="0mm,0mm,0mm,0mm" style="mso-fit-shape-to-text:t;">
            <w:txbxContent>
              <w:p>
                <w:pPr>
                  <w:pStyle w:val="4"/>
                  <w:rPr>
                    <w:rFonts w:hint="default"/>
                  </w:rPr>
                </w:pPr>
                <w:r>
                  <w:t xml:space="preserve"> </w:t>
                </w:r>
                <w:r>
                  <w:fldChar w:fldCharType="begin"/>
                </w:r>
                <w:r>
                  <w:instrText xml:space="preserve">PAGE   \* MERGEFORMAT</w:instrText>
                </w:r>
                <w:r>
                  <w:fldChar w:fldCharType="separate"/>
                </w:r>
                <w:r>
                  <w:rPr>
                    <w:rFonts w:hint="default"/>
                    <w:lang w:val="zh-CN"/>
                  </w:rPr>
                  <w:t>-</w:t>
                </w:r>
                <w:r>
                  <w:rPr>
                    <w:rFonts w:hint="default"/>
                  </w:rPr>
                  <w:t xml:space="preserve"> 25 -</w:t>
                </w:r>
                <w:r>
                  <w:fldChar w:fldCharType="end"/>
                </w:r>
                <w:r>
                  <w:t xml:space="preserve"> </w:t>
                </w:r>
              </w:p>
            </w:txbxContent>
          </v:textbox>
        </v:shape>
      </w:pict>
    </w:r>
    <w:r>
      <w:rPr>
        <w:rFonts w:hint="default"/>
      </w:rPr>
      <w:pict>
        <v:shape id="_x0000_s1027" o:spid="_x0000_s1027" o:spt="202" type="#_x0000_t202" style="position:absolute;left:0pt;margin-top:1160.4pt;height:17.4pt;width:144pt;mso-position-horizontal:center;mso-position-horizontal-relative:margin;mso-position-vertical-relative:page;mso-wrap-style:none;z-index:251659264;mso-width-relative:page;mso-height-relative:page;" filled="f" stroked="f" coordsize="21600,21600" o:allowoverlap="f" o:gfxdata="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eA1UVNgAAAAKAQAADwAAAAAAAAABACAAAAAiAAAAZHJzL2Rvd25y&#10;ZXYueG1sUEsBAhQAFAAAAAgAh07iQALFEI03AgAAZgQAAA4AAAAAAAAAAQAgAAAAJwEAAGRycy9l&#10;Mm9Eb2MueG1sUEsFBgAAAAAGAAYAWQEAANAFAAAAAA==&#10;">
          <v:path/>
          <v:fill on="f" focussize="0,0"/>
          <v:stroke on="f" weight="0.5pt" joinstyle="miter"/>
          <v:imagedata o:title=""/>
          <o:lock v:ext="edit"/>
          <v:textbox inset="0mm,0mm,0mm,0mm">
            <w:txbxContent>
              <w:p>
                <w:pPr>
                  <w:pStyle w:val="4"/>
                  <w:jc w:val="both"/>
                  <w:rPr>
                    <w:rFonts w:hint="default" w:cs="宋体"/>
                  </w:rPr>
                </w:pPr>
                <w:r>
                  <w:rPr>
                    <w:rFonts w:cs="宋体"/>
                  </w:rPr>
                  <w:t>— 27.1 —</w:t>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tabs>
        <w:tab w:val="left" w:pos="1758"/>
        <w:tab w:val="clear" w:pos="4153"/>
        <w:tab w:val="clear" w:pos="8306"/>
      </w:tabs>
      <w:rPr>
        <w:rFonts w:hint="default"/>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42607D4"/>
    <w:multiLevelType w:val="singleLevel"/>
    <w:tmpl w:val="D42607D4"/>
    <w:lvl w:ilvl="0" w:tentative="0">
      <w:start w:val="5"/>
      <w:numFmt w:val="chineseCounting"/>
      <w:suff w:val="nothing"/>
      <w:lvlText w:val="%1、"/>
      <w:lvlJc w:val="left"/>
      <w:rPr>
        <w:rFonts w:hint="eastAsia"/>
      </w:rPr>
    </w:lvl>
  </w:abstractNum>
  <w:abstractNum w:abstractNumId="1">
    <w:nsid w:val="3546BD58"/>
    <w:multiLevelType w:val="singleLevel"/>
    <w:tmpl w:val="3546BD58"/>
    <w:lvl w:ilvl="0" w:tentative="0">
      <w:start w:val="2"/>
      <w:numFmt w:val="chineseCounting"/>
      <w:suff w:val="nothing"/>
      <w:lvlText w:val="（%1）"/>
      <w:lvlJc w:val="left"/>
      <w:rPr>
        <w:rFonts w:hint="eastAsia"/>
      </w:rPr>
    </w:lvl>
  </w:abstractNum>
  <w:abstractNum w:abstractNumId="2">
    <w:nsid w:val="6A15C7EA"/>
    <w:multiLevelType w:val="singleLevel"/>
    <w:tmpl w:val="6A15C7EA"/>
    <w:lvl w:ilvl="0" w:tentative="0">
      <w:start w:val="4"/>
      <w:numFmt w:val="chineseCounting"/>
      <w:suff w:val="nothing"/>
      <w:lvlText w:val="%1、"/>
      <w:lvlJc w:val="left"/>
      <w:rPr>
        <w:rFonts w:hint="eastAsia"/>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HorizontalSpacing w:val="120"/>
  <w:drawingGridVerticalSpacing w:val="163"/>
  <w:displayHorizontalDrawingGridEvery w:val="0"/>
  <w:displayVerticalDrawingGridEvery w:val="2"/>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doNotUseIndentAsNumberingTabStop/>
    <w:useAltKinsokuLineBreakRules/>
    <w:compatSetting w:name="compatibilityMode" w:uri="http://schemas.microsoft.com/office/word" w:val="12"/>
  </w:compat>
  <w:docVars>
    <w:docVar w:name="commondata" w:val="eyJoZGlkIjoiOGQwYWQ1YTE0ZDA0NjgxYzlhMjZlMDExNTFmMWI3MmEifQ=="/>
  </w:docVars>
  <w:rsids>
    <w:rsidRoot w:val="00B03CCD"/>
    <w:rsid w:val="000C01CC"/>
    <w:rsid w:val="000D7702"/>
    <w:rsid w:val="002D0E5A"/>
    <w:rsid w:val="002E5443"/>
    <w:rsid w:val="004C12FF"/>
    <w:rsid w:val="00550ABE"/>
    <w:rsid w:val="005B023C"/>
    <w:rsid w:val="006137D7"/>
    <w:rsid w:val="00634FA8"/>
    <w:rsid w:val="0063613A"/>
    <w:rsid w:val="00792285"/>
    <w:rsid w:val="007A0D2E"/>
    <w:rsid w:val="007A3314"/>
    <w:rsid w:val="007B419D"/>
    <w:rsid w:val="00810F13"/>
    <w:rsid w:val="00944711"/>
    <w:rsid w:val="00984852"/>
    <w:rsid w:val="009B67B8"/>
    <w:rsid w:val="00A03B1E"/>
    <w:rsid w:val="00A67739"/>
    <w:rsid w:val="00A820B7"/>
    <w:rsid w:val="00AC5566"/>
    <w:rsid w:val="00B03CCD"/>
    <w:rsid w:val="00B40138"/>
    <w:rsid w:val="00BF5A85"/>
    <w:rsid w:val="00C307F6"/>
    <w:rsid w:val="00C96B11"/>
    <w:rsid w:val="00CC6B99"/>
    <w:rsid w:val="00DF7706"/>
    <w:rsid w:val="00E05175"/>
    <w:rsid w:val="00E654E2"/>
    <w:rsid w:val="00E76362"/>
    <w:rsid w:val="00F137D3"/>
    <w:rsid w:val="00F13C36"/>
    <w:rsid w:val="00F23C68"/>
    <w:rsid w:val="00F32C53"/>
    <w:rsid w:val="00F73F90"/>
    <w:rsid w:val="00F7623D"/>
    <w:rsid w:val="00F8598B"/>
    <w:rsid w:val="01474EBF"/>
    <w:rsid w:val="01F3521E"/>
    <w:rsid w:val="03B87EA0"/>
    <w:rsid w:val="03E3214F"/>
    <w:rsid w:val="044C50BA"/>
    <w:rsid w:val="05BC6D49"/>
    <w:rsid w:val="06194FF1"/>
    <w:rsid w:val="067E3534"/>
    <w:rsid w:val="06A2550B"/>
    <w:rsid w:val="06B869C0"/>
    <w:rsid w:val="06F80EE2"/>
    <w:rsid w:val="07001CCA"/>
    <w:rsid w:val="075678DB"/>
    <w:rsid w:val="079D7CC7"/>
    <w:rsid w:val="08051BCA"/>
    <w:rsid w:val="086C12F4"/>
    <w:rsid w:val="08BA052C"/>
    <w:rsid w:val="08DB07BA"/>
    <w:rsid w:val="0969353F"/>
    <w:rsid w:val="098305D0"/>
    <w:rsid w:val="098A0877"/>
    <w:rsid w:val="0A5C4B69"/>
    <w:rsid w:val="0A86124A"/>
    <w:rsid w:val="0AB54CC0"/>
    <w:rsid w:val="0B9335CE"/>
    <w:rsid w:val="0C7927C4"/>
    <w:rsid w:val="0C9B098C"/>
    <w:rsid w:val="0D673E11"/>
    <w:rsid w:val="0DDA54E4"/>
    <w:rsid w:val="0E3A5F83"/>
    <w:rsid w:val="0E74421A"/>
    <w:rsid w:val="0F5034CC"/>
    <w:rsid w:val="0F836721"/>
    <w:rsid w:val="0FA25D96"/>
    <w:rsid w:val="107B59E5"/>
    <w:rsid w:val="10EC0126"/>
    <w:rsid w:val="10F70B9A"/>
    <w:rsid w:val="111445C7"/>
    <w:rsid w:val="114278C6"/>
    <w:rsid w:val="1158083A"/>
    <w:rsid w:val="11643A4B"/>
    <w:rsid w:val="11ED0F98"/>
    <w:rsid w:val="11F03528"/>
    <w:rsid w:val="12264A0E"/>
    <w:rsid w:val="12C921C4"/>
    <w:rsid w:val="13871C70"/>
    <w:rsid w:val="13A71CB4"/>
    <w:rsid w:val="13AF1D43"/>
    <w:rsid w:val="13CE1647"/>
    <w:rsid w:val="13FD55AB"/>
    <w:rsid w:val="14200702"/>
    <w:rsid w:val="145304E8"/>
    <w:rsid w:val="163A6CEE"/>
    <w:rsid w:val="164E5D24"/>
    <w:rsid w:val="173708E3"/>
    <w:rsid w:val="17C374FC"/>
    <w:rsid w:val="184C20F5"/>
    <w:rsid w:val="189079DC"/>
    <w:rsid w:val="189B0D0B"/>
    <w:rsid w:val="18B43F7C"/>
    <w:rsid w:val="193D0B06"/>
    <w:rsid w:val="194A1770"/>
    <w:rsid w:val="19B906A4"/>
    <w:rsid w:val="1B6F15B6"/>
    <w:rsid w:val="1BAA2EDC"/>
    <w:rsid w:val="1C5C0973"/>
    <w:rsid w:val="1CA55E64"/>
    <w:rsid w:val="1D014A01"/>
    <w:rsid w:val="1D022362"/>
    <w:rsid w:val="1D125905"/>
    <w:rsid w:val="1D1B04B0"/>
    <w:rsid w:val="1DBD6767"/>
    <w:rsid w:val="1DC52125"/>
    <w:rsid w:val="1DD26311"/>
    <w:rsid w:val="1E374ACB"/>
    <w:rsid w:val="1E5E27E3"/>
    <w:rsid w:val="1ECF0A66"/>
    <w:rsid w:val="1EE83C9F"/>
    <w:rsid w:val="1EF6173A"/>
    <w:rsid w:val="1EF67CA4"/>
    <w:rsid w:val="1F020D3A"/>
    <w:rsid w:val="1F2C5189"/>
    <w:rsid w:val="1F4B0B02"/>
    <w:rsid w:val="1FBB35CD"/>
    <w:rsid w:val="1FCD26AF"/>
    <w:rsid w:val="20642787"/>
    <w:rsid w:val="2152653D"/>
    <w:rsid w:val="21556F04"/>
    <w:rsid w:val="21913775"/>
    <w:rsid w:val="22403BD3"/>
    <w:rsid w:val="236602D6"/>
    <w:rsid w:val="23DA37D9"/>
    <w:rsid w:val="24B92327"/>
    <w:rsid w:val="24C14514"/>
    <w:rsid w:val="2533755C"/>
    <w:rsid w:val="25791755"/>
    <w:rsid w:val="26396DF4"/>
    <w:rsid w:val="27167136"/>
    <w:rsid w:val="273C1BAD"/>
    <w:rsid w:val="27B04BAD"/>
    <w:rsid w:val="27B23302"/>
    <w:rsid w:val="29310A5F"/>
    <w:rsid w:val="29AE0BCF"/>
    <w:rsid w:val="29C37A35"/>
    <w:rsid w:val="29CC6E69"/>
    <w:rsid w:val="2A076083"/>
    <w:rsid w:val="2A73162E"/>
    <w:rsid w:val="2B167953"/>
    <w:rsid w:val="2B200583"/>
    <w:rsid w:val="2B8209DE"/>
    <w:rsid w:val="2C6762A3"/>
    <w:rsid w:val="2EBF7B3E"/>
    <w:rsid w:val="2EDE1934"/>
    <w:rsid w:val="2F0F3ECE"/>
    <w:rsid w:val="2FA6232A"/>
    <w:rsid w:val="2FCA4B37"/>
    <w:rsid w:val="2FE029D7"/>
    <w:rsid w:val="2FF06E00"/>
    <w:rsid w:val="30562E26"/>
    <w:rsid w:val="30586FEC"/>
    <w:rsid w:val="30EC7046"/>
    <w:rsid w:val="315F0B22"/>
    <w:rsid w:val="319D022C"/>
    <w:rsid w:val="31C90022"/>
    <w:rsid w:val="31D84415"/>
    <w:rsid w:val="31DC3606"/>
    <w:rsid w:val="32285F6F"/>
    <w:rsid w:val="32770556"/>
    <w:rsid w:val="329C0913"/>
    <w:rsid w:val="32AA0460"/>
    <w:rsid w:val="3337290D"/>
    <w:rsid w:val="33E31118"/>
    <w:rsid w:val="33EF7674"/>
    <w:rsid w:val="342D7BC6"/>
    <w:rsid w:val="352930DB"/>
    <w:rsid w:val="35573069"/>
    <w:rsid w:val="355F6038"/>
    <w:rsid w:val="358C217E"/>
    <w:rsid w:val="35937598"/>
    <w:rsid w:val="36C9128A"/>
    <w:rsid w:val="372E3953"/>
    <w:rsid w:val="37841E99"/>
    <w:rsid w:val="37BF1123"/>
    <w:rsid w:val="383C3F15"/>
    <w:rsid w:val="38BE4696"/>
    <w:rsid w:val="3939115E"/>
    <w:rsid w:val="397B655D"/>
    <w:rsid w:val="39B82A39"/>
    <w:rsid w:val="39C42CA8"/>
    <w:rsid w:val="39DC4FD6"/>
    <w:rsid w:val="39F03D7A"/>
    <w:rsid w:val="39F33306"/>
    <w:rsid w:val="3A2C1C67"/>
    <w:rsid w:val="3A740CF3"/>
    <w:rsid w:val="3B1705E5"/>
    <w:rsid w:val="3B18334B"/>
    <w:rsid w:val="3B36794F"/>
    <w:rsid w:val="3C566AD6"/>
    <w:rsid w:val="3C6A5B02"/>
    <w:rsid w:val="3D2757A1"/>
    <w:rsid w:val="3D3D4FC4"/>
    <w:rsid w:val="3DDF3AB1"/>
    <w:rsid w:val="3E1D0952"/>
    <w:rsid w:val="3E42660A"/>
    <w:rsid w:val="3E7555B1"/>
    <w:rsid w:val="3E787ED9"/>
    <w:rsid w:val="3EEC37F3"/>
    <w:rsid w:val="3F032E93"/>
    <w:rsid w:val="3F0527E5"/>
    <w:rsid w:val="3F694D83"/>
    <w:rsid w:val="3F885DCC"/>
    <w:rsid w:val="3FCD675E"/>
    <w:rsid w:val="4004000C"/>
    <w:rsid w:val="40B9143D"/>
    <w:rsid w:val="40E76959"/>
    <w:rsid w:val="411B6CE5"/>
    <w:rsid w:val="412070D7"/>
    <w:rsid w:val="41314E40"/>
    <w:rsid w:val="41E0734B"/>
    <w:rsid w:val="426554D0"/>
    <w:rsid w:val="426C1EA8"/>
    <w:rsid w:val="42736402"/>
    <w:rsid w:val="42825877"/>
    <w:rsid w:val="42E86A87"/>
    <w:rsid w:val="43307B09"/>
    <w:rsid w:val="438D0E97"/>
    <w:rsid w:val="43BB152F"/>
    <w:rsid w:val="43CA2D3B"/>
    <w:rsid w:val="444D22DC"/>
    <w:rsid w:val="44C37687"/>
    <w:rsid w:val="45CB699A"/>
    <w:rsid w:val="463223F8"/>
    <w:rsid w:val="465B470D"/>
    <w:rsid w:val="469D6AD4"/>
    <w:rsid w:val="471E6C84"/>
    <w:rsid w:val="4748792B"/>
    <w:rsid w:val="475D719D"/>
    <w:rsid w:val="47674801"/>
    <w:rsid w:val="48225EF7"/>
    <w:rsid w:val="488F422B"/>
    <w:rsid w:val="48DB4556"/>
    <w:rsid w:val="48E36915"/>
    <w:rsid w:val="495C4A24"/>
    <w:rsid w:val="497135DF"/>
    <w:rsid w:val="4A263DF2"/>
    <w:rsid w:val="4A6F6675"/>
    <w:rsid w:val="4B0502DF"/>
    <w:rsid w:val="4B135857"/>
    <w:rsid w:val="4B7951CB"/>
    <w:rsid w:val="4B7C315C"/>
    <w:rsid w:val="4D2712CE"/>
    <w:rsid w:val="4DAC4ACA"/>
    <w:rsid w:val="4DBE01D2"/>
    <w:rsid w:val="4EFC6D10"/>
    <w:rsid w:val="4F0C6BA3"/>
    <w:rsid w:val="4F10477D"/>
    <w:rsid w:val="4F186D58"/>
    <w:rsid w:val="4F691C56"/>
    <w:rsid w:val="4FEA65B7"/>
    <w:rsid w:val="50F06B6E"/>
    <w:rsid w:val="52234D33"/>
    <w:rsid w:val="522F6E0C"/>
    <w:rsid w:val="52463BA1"/>
    <w:rsid w:val="52F163D4"/>
    <w:rsid w:val="531A2DB4"/>
    <w:rsid w:val="53C0244D"/>
    <w:rsid w:val="53DD4D4E"/>
    <w:rsid w:val="53E578CE"/>
    <w:rsid w:val="541330F0"/>
    <w:rsid w:val="54272666"/>
    <w:rsid w:val="543B029D"/>
    <w:rsid w:val="54861779"/>
    <w:rsid w:val="552256E1"/>
    <w:rsid w:val="554E5773"/>
    <w:rsid w:val="555A3CBC"/>
    <w:rsid w:val="5582012B"/>
    <w:rsid w:val="558E4E05"/>
    <w:rsid w:val="55BE2E85"/>
    <w:rsid w:val="56530F5D"/>
    <w:rsid w:val="567700D3"/>
    <w:rsid w:val="56FF7E9E"/>
    <w:rsid w:val="578867FC"/>
    <w:rsid w:val="5842572D"/>
    <w:rsid w:val="5940227C"/>
    <w:rsid w:val="594E1353"/>
    <w:rsid w:val="5A3B59D6"/>
    <w:rsid w:val="5AD134D8"/>
    <w:rsid w:val="5ADE796D"/>
    <w:rsid w:val="5B6503B1"/>
    <w:rsid w:val="5BFA3A1D"/>
    <w:rsid w:val="5C263CE4"/>
    <w:rsid w:val="5C291AE7"/>
    <w:rsid w:val="5C5D2777"/>
    <w:rsid w:val="5C633E69"/>
    <w:rsid w:val="5CF66BF3"/>
    <w:rsid w:val="5D290C69"/>
    <w:rsid w:val="5F2D4A41"/>
    <w:rsid w:val="60C74F6C"/>
    <w:rsid w:val="61025A59"/>
    <w:rsid w:val="613D5BBC"/>
    <w:rsid w:val="61536C39"/>
    <w:rsid w:val="62944DD7"/>
    <w:rsid w:val="6319381F"/>
    <w:rsid w:val="63236436"/>
    <w:rsid w:val="635158B8"/>
    <w:rsid w:val="6379761D"/>
    <w:rsid w:val="63C25DC5"/>
    <w:rsid w:val="63C62057"/>
    <w:rsid w:val="64571EF5"/>
    <w:rsid w:val="64FB113D"/>
    <w:rsid w:val="656152C6"/>
    <w:rsid w:val="6587477F"/>
    <w:rsid w:val="658C3A08"/>
    <w:rsid w:val="65C031CA"/>
    <w:rsid w:val="65CE6852"/>
    <w:rsid w:val="66267C04"/>
    <w:rsid w:val="663F505A"/>
    <w:rsid w:val="66967186"/>
    <w:rsid w:val="66EE5541"/>
    <w:rsid w:val="67924660"/>
    <w:rsid w:val="68407834"/>
    <w:rsid w:val="6883293E"/>
    <w:rsid w:val="688412AD"/>
    <w:rsid w:val="68EB1B71"/>
    <w:rsid w:val="692D1AB3"/>
    <w:rsid w:val="69475C96"/>
    <w:rsid w:val="6AAD2300"/>
    <w:rsid w:val="6B474EF5"/>
    <w:rsid w:val="6BBF53FD"/>
    <w:rsid w:val="6C560CAE"/>
    <w:rsid w:val="6C576495"/>
    <w:rsid w:val="6D903FF5"/>
    <w:rsid w:val="6D915003"/>
    <w:rsid w:val="6DA955B8"/>
    <w:rsid w:val="6DE346AB"/>
    <w:rsid w:val="6DE5391A"/>
    <w:rsid w:val="6EFD1324"/>
    <w:rsid w:val="6F5A53AC"/>
    <w:rsid w:val="6FAC003D"/>
    <w:rsid w:val="6FC62FD9"/>
    <w:rsid w:val="6FE55E12"/>
    <w:rsid w:val="6FFB2E76"/>
    <w:rsid w:val="708F6F7F"/>
    <w:rsid w:val="70D94BD3"/>
    <w:rsid w:val="71C34D91"/>
    <w:rsid w:val="72DB435C"/>
    <w:rsid w:val="72E2613A"/>
    <w:rsid w:val="72F771F4"/>
    <w:rsid w:val="736650B0"/>
    <w:rsid w:val="73934AD2"/>
    <w:rsid w:val="750837F0"/>
    <w:rsid w:val="754758CF"/>
    <w:rsid w:val="764F62AB"/>
    <w:rsid w:val="765C45EC"/>
    <w:rsid w:val="768A7619"/>
    <w:rsid w:val="772E1EBA"/>
    <w:rsid w:val="77EB79F7"/>
    <w:rsid w:val="796D60A4"/>
    <w:rsid w:val="79A031D5"/>
    <w:rsid w:val="7A1525F7"/>
    <w:rsid w:val="7AD63B65"/>
    <w:rsid w:val="7B420052"/>
    <w:rsid w:val="7B861484"/>
    <w:rsid w:val="7BD06A28"/>
    <w:rsid w:val="7C3A7C0B"/>
    <w:rsid w:val="7C5248E4"/>
    <w:rsid w:val="7C566698"/>
    <w:rsid w:val="7C5866A3"/>
    <w:rsid w:val="7D6836BA"/>
    <w:rsid w:val="7D7406BB"/>
    <w:rsid w:val="7DA64998"/>
    <w:rsid w:val="7DE94331"/>
    <w:rsid w:val="7F17004F"/>
    <w:rsid w:val="7F27742A"/>
    <w:rsid w:val="7F446A19"/>
    <w:rsid w:val="7F7452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99"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99"/>
    <w:rPr>
      <w:rFonts w:hint="eastAsia" w:ascii="宋体" w:hAnsi="宋体" w:eastAsia="宋体" w:cs="Times New Roman"/>
      <w:sz w:val="24"/>
      <w:szCs w:val="24"/>
      <w:lang w:val="en-US" w:eastAsia="zh-CN" w:bidi="ar-SA"/>
    </w:rPr>
  </w:style>
  <w:style w:type="character" w:default="1" w:styleId="10">
    <w:name w:val="Default Paragraph Font"/>
    <w:semiHidden/>
    <w:unhideWhenUsed/>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ody Text"/>
    <w:basedOn w:val="1"/>
    <w:semiHidden/>
    <w:qFormat/>
    <w:uiPriority w:val="0"/>
    <w:rPr>
      <w:rFonts w:ascii="仿宋" w:hAnsi="仿宋" w:eastAsia="仿宋" w:cs="仿宋"/>
      <w:sz w:val="31"/>
      <w:szCs w:val="31"/>
      <w:lang w:val="en-US" w:eastAsia="en-US" w:bidi="ar-SA"/>
    </w:rPr>
  </w:style>
  <w:style w:type="paragraph" w:styleId="3">
    <w:name w:val="Balloon Text"/>
    <w:basedOn w:val="1"/>
    <w:link w:val="16"/>
    <w:qFormat/>
    <w:uiPriority w:val="0"/>
    <w:rPr>
      <w:sz w:val="18"/>
      <w:szCs w:val="18"/>
    </w:rPr>
  </w:style>
  <w:style w:type="paragraph" w:styleId="4">
    <w:name w:val="footer"/>
    <w:basedOn w:val="1"/>
    <w:qFormat/>
    <w:uiPriority w:val="0"/>
    <w:pPr>
      <w:tabs>
        <w:tab w:val="center" w:pos="4153"/>
        <w:tab w:val="right" w:pos="8306"/>
      </w:tabs>
      <w:snapToGrid w:val="0"/>
    </w:pPr>
    <w:rPr>
      <w:sz w:val="18"/>
      <w:szCs w:val="18"/>
    </w:rPr>
  </w:style>
  <w:style w:type="paragraph" w:styleId="5">
    <w:name w:val="header"/>
    <w:basedOn w:val="1"/>
    <w:qFormat/>
    <w:uiPriority w:val="0"/>
    <w:pPr>
      <w:tabs>
        <w:tab w:val="center" w:pos="4153"/>
        <w:tab w:val="right" w:pos="8306"/>
      </w:tabs>
      <w:snapToGrid w:val="0"/>
      <w:jc w:val="center"/>
    </w:pPr>
    <w:rPr>
      <w:sz w:val="18"/>
      <w:szCs w:val="18"/>
    </w:rPr>
  </w:style>
  <w:style w:type="paragraph" w:styleId="6">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7">
    <w:name w:val="Normal (Web)"/>
    <w:basedOn w:val="1"/>
    <w:unhideWhenUsed/>
    <w:qFormat/>
    <w:uiPriority w:val="0"/>
    <w:pPr>
      <w:spacing w:before="100" w:beforeAutospacing="1" w:after="100" w:afterAutospacing="1"/>
    </w:p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1">
    <w:name w:val="Strong"/>
    <w:qFormat/>
    <w:uiPriority w:val="0"/>
    <w:rPr>
      <w:b/>
    </w:rPr>
  </w:style>
  <w:style w:type="paragraph" w:customStyle="1" w:styleId="12">
    <w:name w:val="列出段落1"/>
    <w:basedOn w:val="1"/>
    <w:qFormat/>
    <w:uiPriority w:val="99"/>
    <w:pPr>
      <w:ind w:firstLine="420" w:firstLineChars="200"/>
    </w:pPr>
    <w:rPr>
      <w:rFonts w:hint="default"/>
    </w:rPr>
  </w:style>
  <w:style w:type="paragraph" w:customStyle="1" w:styleId="13">
    <w:name w:val="普通(网站) Char"/>
    <w:qFormat/>
    <w:uiPriority w:val="0"/>
    <w:pPr>
      <w:spacing w:before="100" w:beforeAutospacing="1" w:after="100" w:afterAutospacing="1"/>
    </w:pPr>
    <w:rPr>
      <w:rFonts w:ascii="宋体" w:hAnsi="宋体" w:eastAsia="宋体" w:cs="Times New Roman"/>
      <w:sz w:val="24"/>
      <w:szCs w:val="24"/>
      <w:lang w:val="en-US" w:eastAsia="zh-CN" w:bidi="ar-SA"/>
    </w:rPr>
  </w:style>
  <w:style w:type="character" w:customStyle="1" w:styleId="14">
    <w:name w:val="21"/>
    <w:qFormat/>
    <w:uiPriority w:val="0"/>
    <w:rPr>
      <w:rFonts w:hint="default" w:ascii="Wingdings" w:hAnsi="Wingdings" w:cs="Wingdings"/>
      <w:b/>
      <w:bCs/>
    </w:rPr>
  </w:style>
  <w:style w:type="paragraph" w:customStyle="1" w:styleId="15">
    <w:name w:val="列出段落2"/>
    <w:qFormat/>
    <w:uiPriority w:val="99"/>
    <w:pPr>
      <w:ind w:firstLine="420" w:firstLineChars="200"/>
    </w:pPr>
    <w:rPr>
      <w:rFonts w:ascii="宋体" w:hAnsi="宋体" w:eastAsia="宋体" w:cs="Times New Roman"/>
      <w:sz w:val="24"/>
      <w:szCs w:val="24"/>
      <w:lang w:val="en-US" w:eastAsia="zh-CN" w:bidi="ar-SA"/>
    </w:rPr>
  </w:style>
  <w:style w:type="character" w:customStyle="1" w:styleId="16">
    <w:name w:val="批注框文本 Char"/>
    <w:basedOn w:val="10"/>
    <w:link w:val="3"/>
    <w:qFormat/>
    <w:uiPriority w:val="0"/>
    <w:rPr>
      <w:rFonts w:ascii="宋体" w:hAnsi="宋体"/>
      <w:sz w:val="18"/>
      <w:szCs w:val="18"/>
    </w:rPr>
  </w:style>
  <w:style w:type="character" w:customStyle="1" w:styleId="17">
    <w:name w:val="27"/>
    <w:basedOn w:val="10"/>
    <w:uiPriority w:val="0"/>
    <w:rPr>
      <w:rFonts w:hint="default" w:ascii="Times New Roman" w:hAnsi="Times New Roman" w:cs="Times New Roman"/>
      <w:b/>
      <w:bCs/>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emf"/><Relationship Id="rId7" Type="http://schemas.openxmlformats.org/officeDocument/2006/relationships/oleObject" Target="embeddings/oleObject1.bin"/><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Info spid="_x0000_s1028"/>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33</Pages>
  <Words>4095</Words>
  <Characters>23348</Characters>
  <Lines>194</Lines>
  <Paragraphs>54</Paragraphs>
  <TotalTime>1</TotalTime>
  <ScaleCrop>false</ScaleCrop>
  <LinksUpToDate>false</LinksUpToDate>
  <CharactersWithSpaces>27389</CharactersWithSpaces>
  <Application>WPS Office_11.8.2.12055_F1E327BC-269C-435d-A152-05C5408002CA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2024-07-11T02:00:00Z</dcterms:created>
  <dc:creator>Administrator</dc:creator>
  <cp:lastModifiedBy>Administrator</cp:lastModifiedBy>
  <dcterms:modified xsi:type="dcterms:W3CDTF">2024-10-11T09:48:17Z</dcterms:modified>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2052-11.8.2.12055</vt:lpwstr>
  </property>
  <property fmtid="{D5CDD505-2E9C-101B-9397-08002B2CF9AE}" pid="3" name="ICV">
    <vt:lpwstr>BB46EABDBB2749749395447164B066B3_12</vt:lpwstr>
  </property>
</Properties>
</file>