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before="0" w:beforeAutospacing="0"/>
        <w:jc w:val="center"/>
        <w:rPr>
          <w:rFonts w:hint="default" w:ascii="方正小标宋_GBK" w:hAnsi="方正小标宋_GBK" w:eastAsia="方正小标宋_GBK" w:cs="方正小标宋_GBK"/>
          <w:sz w:val="36"/>
          <w:szCs w:val="36"/>
          <w:shd w:val="clear" w:color="auto" w:fill="FFFFFF"/>
        </w:rPr>
      </w:pPr>
      <w:r>
        <w:rPr>
          <w:rFonts w:ascii="方正小标宋_GBK" w:hAnsi="方正小标宋_GBK" w:eastAsia="方正小标宋_GBK" w:cs="方正小标宋_GBK"/>
          <w:sz w:val="36"/>
          <w:szCs w:val="36"/>
        </w:rPr>
        <w:t>重庆市忠县黄金镇文化服务中心</w:t>
      </w:r>
      <w:r>
        <w:rPr>
          <w:rFonts w:ascii="方正小标宋_GBK" w:hAnsi="方正小标宋_GBK" w:eastAsia="方正小标宋_GBK" w:cs="方正小标宋_GBK"/>
          <w:sz w:val="36"/>
          <w:szCs w:val="36"/>
          <w:shd w:val="clear" w:color="auto" w:fill="FFFFFF"/>
        </w:rPr>
        <w:t>2023年度决算公开说明</w:t>
      </w:r>
    </w:p>
    <w:p>
      <w:pPr>
        <w:pStyle w:val="6"/>
        <w:shd w:val="clear" w:color="auto" w:fill="FFFFFF"/>
        <w:rPr>
          <w:rFonts w:hint="default" w:ascii="黑体" w:hAnsi="黑体" w:eastAsia="黑体" w:cs="黑体"/>
          <w:sz w:val="32"/>
          <w:szCs w:val="32"/>
        </w:rPr>
      </w:pPr>
      <w:r>
        <w:rPr>
          <w:rStyle w:val="10"/>
          <w:rFonts w:ascii="黑体" w:hAnsi="黑体" w:eastAsia="黑体" w:cs="黑体"/>
          <w:sz w:val="32"/>
          <w:szCs w:val="32"/>
          <w:shd w:val="clear" w:color="auto" w:fill="FFFFFF"/>
        </w:rPr>
        <w:t>一、单位基本情况</w:t>
      </w:r>
    </w:p>
    <w:p>
      <w:pPr>
        <w:pStyle w:val="6"/>
        <w:shd w:val="clear" w:color="auto" w:fill="FFFFFF"/>
        <w:ind w:firstLine="420"/>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（一）职能职责</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default" w:ascii="方正仿宋_GBK" w:hAnsi="方正仿宋_GBK" w:eastAsia="方正仿宋_GBK" w:cs="方正仿宋_GBK"/>
          <w:sz w:val="32"/>
          <w:szCs w:val="32"/>
        </w:rPr>
        <w:t>负责本辖区文化宣传并组织文体活动及文物保护工作。</w:t>
      </w:r>
    </w:p>
    <w:p>
      <w:pPr>
        <w:pStyle w:val="6"/>
        <w:numPr>
          <w:ilvl w:val="0"/>
          <w:numId w:val="1"/>
        </w:numPr>
        <w:shd w:val="clear" w:color="auto" w:fill="FFFFFF"/>
        <w:ind w:firstLine="420"/>
        <w:rPr>
          <w:rStyle w:val="10"/>
          <w:rFonts w:ascii="楷体" w:hAnsi="楷体" w:eastAsia="楷体" w:cs="楷体"/>
          <w:sz w:val="32"/>
          <w:szCs w:val="32"/>
          <w:shd w:val="clear" w:color="auto" w:fill="FFFFFF"/>
        </w:rPr>
      </w:pPr>
      <w:r>
        <w:rPr>
          <w:rStyle w:val="10"/>
          <w:rFonts w:ascii="楷体" w:hAnsi="楷体" w:eastAsia="楷体" w:cs="楷体"/>
          <w:sz w:val="32"/>
          <w:szCs w:val="32"/>
          <w:shd w:val="clear" w:color="auto" w:fill="FFFFFF"/>
        </w:rPr>
        <w:t>机构设置</w:t>
      </w:r>
    </w:p>
    <w:p>
      <w:pPr>
        <w:pStyle w:val="6"/>
        <w:snapToGrid w:val="0"/>
        <w:spacing w:before="0" w:beforeAutospacing="0" w:after="0" w:afterAutospacing="0" w:line="600" w:lineRule="exact"/>
        <w:ind w:firstLine="640" w:firstLineChars="200"/>
        <w:jc w:val="both"/>
        <w:rPr>
          <w:rStyle w:val="10"/>
          <w:rFonts w:ascii="楷体" w:hAnsi="楷体" w:eastAsia="楷体" w:cs="楷体"/>
          <w:sz w:val="32"/>
          <w:szCs w:val="32"/>
          <w:shd w:val="clear" w:color="auto" w:fill="FFFFFF"/>
        </w:rPr>
      </w:pPr>
      <w:r>
        <w:rPr>
          <w:rFonts w:hint="default" w:ascii="方正仿宋_GBK" w:hAnsi="方正仿宋_GBK" w:eastAsia="方正仿宋_GBK" w:cs="方正仿宋_GBK"/>
          <w:sz w:val="32"/>
          <w:szCs w:val="32"/>
        </w:rPr>
        <w:t>内设1个综合办公室</w:t>
      </w:r>
    </w:p>
    <w:p>
      <w:pPr>
        <w:pStyle w:val="6"/>
        <w:numPr>
          <w:ilvl w:val="0"/>
          <w:numId w:val="1"/>
        </w:numPr>
        <w:shd w:val="clear" w:color="auto" w:fill="FFFFFF"/>
        <w:ind w:firstLine="420"/>
        <w:rPr>
          <w:rStyle w:val="10"/>
          <w:rFonts w:ascii="楷体" w:hAnsi="楷体" w:eastAsia="楷体" w:cs="楷体"/>
          <w:sz w:val="32"/>
          <w:szCs w:val="32"/>
          <w:shd w:val="clear" w:color="auto" w:fill="FFFFFF"/>
        </w:rPr>
      </w:pPr>
      <w:r>
        <w:rPr>
          <w:rStyle w:val="10"/>
          <w:rFonts w:hint="eastAsia" w:ascii="楷体" w:hAnsi="楷体" w:eastAsia="楷体" w:cs="楷体"/>
          <w:sz w:val="32"/>
          <w:szCs w:val="32"/>
          <w:shd w:val="clear" w:color="auto" w:fill="FFFFFF"/>
        </w:rPr>
        <w:t>单位构成。</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按单位性质分:本单位为事业单位;从预算单位构成看,本单位为二级预算单位,无下级预算单位。</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p>
    <w:p>
      <w:pPr>
        <w:pStyle w:val="6"/>
        <w:shd w:val="clear" w:color="auto" w:fill="FFFFFF"/>
        <w:rPr>
          <w:rStyle w:val="10"/>
          <w:rFonts w:hint="default" w:ascii="黑体" w:hAnsi="黑体" w:eastAsia="黑体" w:cs="黑体"/>
          <w:sz w:val="32"/>
          <w:szCs w:val="32"/>
          <w:shd w:val="clear" w:color="auto" w:fill="FFFFFF"/>
        </w:rPr>
      </w:pPr>
      <w:r>
        <w:rPr>
          <w:rStyle w:val="10"/>
          <w:rFonts w:ascii="黑体" w:hAnsi="黑体" w:eastAsia="黑体" w:cs="黑体"/>
          <w:sz w:val="32"/>
          <w:szCs w:val="32"/>
          <w:shd w:val="clear" w:color="auto" w:fill="FFFFFF"/>
        </w:rPr>
        <w:t>二、单位决算情况说明</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pPr>
        <w:pStyle w:val="6"/>
        <w:shd w:val="clear" w:color="auto" w:fill="FFFFFF"/>
        <w:ind w:firstLine="643" w:firstLineChars="200"/>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2023年度收入总计80.95万元，支出总计</w:t>
      </w:r>
      <w:r>
        <w:rPr>
          <w:rFonts w:ascii="方正仿宋_GBK" w:hAnsi="方正仿宋_GBK" w:eastAsia="方正仿宋_GBK" w:cs="方正仿宋_GBK"/>
          <w:sz w:val="32"/>
          <w:szCs w:val="32"/>
        </w:rPr>
        <w:t>80.95</w:t>
      </w:r>
      <w:r>
        <w:rPr>
          <w:rFonts w:ascii="方正仿宋_GBK" w:hAnsi="方正仿宋_GBK" w:eastAsia="方正仿宋_GBK" w:cs="方正仿宋_GBK"/>
          <w:sz w:val="32"/>
          <w:szCs w:val="32"/>
          <w:shd w:val="clear" w:color="auto" w:fill="FFFFFF"/>
        </w:rPr>
        <w:t>万元。收支较上年决算数增加17.52万元，增长27.62%，</w:t>
      </w:r>
      <w:r>
        <w:rPr>
          <w:rFonts w:hint="eastAsia" w:ascii="方正仿宋_GBK" w:hAnsi="方正仿宋_GBK" w:eastAsia="方正仿宋_GBK" w:cs="方正仿宋_GBK"/>
          <w:sz w:val="32"/>
          <w:szCs w:val="32"/>
          <w:shd w:val="clear" w:color="auto" w:fill="FFFFFF"/>
        </w:rPr>
        <w:t>主要原因是人员经费支出和公用经费支出增加。本部分的收入总计包括收入合计、用事业基金弥补收支差额、年初结转和结余,支出总计包括本年支出合计、结余分配、年末结转和结余。</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2023年度收入合计80.95万元，较上年决算数增加17.52万元，增长27.62%，</w:t>
      </w:r>
      <w:r>
        <w:rPr>
          <w:rFonts w:hint="eastAsia" w:ascii="方正仿宋_GBK" w:hAnsi="方正仿宋_GBK" w:eastAsia="方正仿宋_GBK" w:cs="方正仿宋_GBK"/>
          <w:sz w:val="32"/>
          <w:szCs w:val="32"/>
          <w:shd w:val="clear" w:color="auto" w:fill="FFFFFF"/>
        </w:rPr>
        <w:t>主要原因是人员经费和公用经费拨款增加。</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80.95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80.95</w:t>
      </w:r>
      <w:r>
        <w:rPr>
          <w:rFonts w:ascii="方正仿宋_GBK" w:hAnsi="方正仿宋_GBK" w:eastAsia="方正仿宋_GBK" w:cs="方正仿宋_GBK"/>
          <w:sz w:val="32"/>
          <w:szCs w:val="32"/>
          <w:shd w:val="clear" w:color="auto" w:fill="FFFFFF"/>
        </w:rPr>
        <w:t>万元，较上年决算数增加17.52万元，增长27.62%，</w:t>
      </w:r>
      <w:r>
        <w:rPr>
          <w:rFonts w:hint="eastAsia" w:ascii="方正仿宋_GBK" w:hAnsi="方正仿宋_GBK" w:eastAsia="方正仿宋_GBK" w:cs="方正仿宋_GBK"/>
          <w:sz w:val="32"/>
          <w:szCs w:val="32"/>
          <w:shd w:val="clear" w:color="auto" w:fill="FFFFFF"/>
        </w:rPr>
        <w:t>主要原因是人员经费和公用经费支出增加。</w:t>
      </w:r>
      <w:r>
        <w:rPr>
          <w:rFonts w:ascii="方正仿宋_GBK" w:hAnsi="方正仿宋_GBK" w:eastAsia="方正仿宋_GBK" w:cs="方正仿宋_GBK"/>
          <w:sz w:val="32"/>
          <w:szCs w:val="32"/>
          <w:shd w:val="clear" w:color="auto" w:fill="FFFFFF"/>
        </w:rPr>
        <w:t>其中：基本支出</w:t>
      </w:r>
      <w:r>
        <w:rPr>
          <w:rFonts w:ascii="方正仿宋_GBK" w:hAnsi="方正仿宋_GBK" w:eastAsia="方正仿宋_GBK" w:cs="方正仿宋_GBK"/>
          <w:sz w:val="32"/>
          <w:szCs w:val="32"/>
        </w:rPr>
        <w:t>77.95</w:t>
      </w:r>
      <w:r>
        <w:rPr>
          <w:rFonts w:ascii="方正仿宋_GBK" w:hAnsi="方正仿宋_GBK" w:eastAsia="方正仿宋_GBK" w:cs="方正仿宋_GBK"/>
          <w:sz w:val="32"/>
          <w:szCs w:val="32"/>
          <w:shd w:val="clear" w:color="auto" w:fill="FFFFFF"/>
        </w:rPr>
        <w:t>万元，占96.29%。</w:t>
      </w:r>
    </w:p>
    <w:p>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lang w:val="en-US" w:eastAsia="zh-CN"/>
        </w:rPr>
      </w:pPr>
      <w:r>
        <w:rPr>
          <w:rStyle w:val="10"/>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hint="eastAsia" w:ascii="方正仿宋_GBK" w:hAnsi="方正仿宋_GBK" w:eastAsia="方正仿宋_GBK" w:cs="方正仿宋_GBK"/>
          <w:sz w:val="32"/>
          <w:szCs w:val="32"/>
          <w:shd w:val="clear" w:color="auto" w:fill="FFFFFF"/>
          <w:lang w:eastAsia="zh-CN"/>
        </w:rPr>
        <w:t>。</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2023年度财政拨款收、支总计80.95万元。与2022年相比，财政拨款收、支总计各增加17.52万元，增长27.62%。</w:t>
      </w:r>
      <w:r>
        <w:rPr>
          <w:rFonts w:hint="eastAsia" w:ascii="方正仿宋_GBK" w:hAnsi="方正仿宋_GBK" w:eastAsia="方正仿宋_GBK" w:cs="方正仿宋_GBK"/>
          <w:sz w:val="32"/>
          <w:szCs w:val="32"/>
          <w:shd w:val="clear" w:color="auto" w:fill="FFFFFF"/>
        </w:rPr>
        <w:t>主要原因是人员经费和公用经费拨款增加</w:t>
      </w:r>
      <w:r>
        <w:rPr>
          <w:rFonts w:hint="eastAsia" w:ascii="方正仿宋_GBK" w:hAnsi="方正仿宋_GBK" w:eastAsia="方正仿宋_GBK" w:cs="方正仿宋_GBK"/>
          <w:sz w:val="32"/>
          <w:szCs w:val="32"/>
          <w:shd w:val="clear" w:color="auto" w:fill="FFFFFF"/>
          <w:lang w:eastAsia="zh-CN"/>
        </w:rPr>
        <w:t>。</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80.95</w:t>
      </w:r>
      <w:r>
        <w:rPr>
          <w:rFonts w:ascii="方正仿宋_GBK" w:hAnsi="方正仿宋_GBK" w:eastAsia="方正仿宋_GBK" w:cs="方正仿宋_GBK"/>
          <w:sz w:val="32"/>
          <w:szCs w:val="32"/>
          <w:shd w:val="clear" w:color="auto" w:fill="FFFFFF"/>
        </w:rPr>
        <w:t>万元，较上年决算数增加17.52万元，增长27.62%。</w:t>
      </w:r>
      <w:r>
        <w:rPr>
          <w:rFonts w:hint="eastAsia" w:ascii="方正仿宋_GBK" w:hAnsi="方正仿宋_GBK" w:eastAsia="方正仿宋_GBK" w:cs="方正仿宋_GBK"/>
          <w:sz w:val="32"/>
          <w:szCs w:val="32"/>
          <w:shd w:val="clear" w:color="auto" w:fill="FFFFFF"/>
        </w:rPr>
        <w:t>主要原因是人员经费和公用经费拨款增加。</w:t>
      </w:r>
      <w:r>
        <w:rPr>
          <w:rFonts w:ascii="方正仿宋_GBK" w:hAnsi="方正仿宋_GBK" w:eastAsia="方正仿宋_GBK" w:cs="方正仿宋_GBK"/>
          <w:sz w:val="32"/>
          <w:szCs w:val="32"/>
          <w:shd w:val="clear" w:color="auto" w:fill="FFFFFF"/>
        </w:rPr>
        <w:t>较年初预算数增加14.03万元，增长20.97%。</w:t>
      </w:r>
      <w:r>
        <w:rPr>
          <w:rFonts w:hint="eastAsia" w:ascii="方正仿宋_GBK" w:hAnsi="方正仿宋_GBK" w:eastAsia="方正仿宋_GBK" w:cs="方正仿宋_GBK"/>
          <w:sz w:val="32"/>
          <w:szCs w:val="32"/>
          <w:shd w:val="clear" w:color="auto" w:fill="FFFFFF"/>
        </w:rPr>
        <w:t>主要原因是人员经费和公用经费拨款增加。</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80.95</w:t>
      </w:r>
      <w:r>
        <w:rPr>
          <w:rFonts w:ascii="方正仿宋_GBK" w:hAnsi="方正仿宋_GBK" w:eastAsia="方正仿宋_GBK" w:cs="方正仿宋_GBK"/>
          <w:sz w:val="32"/>
          <w:szCs w:val="32"/>
          <w:shd w:val="clear" w:color="auto" w:fill="FFFFFF"/>
        </w:rPr>
        <w:t>万元，较上年决算数增加17.52万元，增长27.62%。</w:t>
      </w:r>
      <w:r>
        <w:rPr>
          <w:rFonts w:hint="eastAsia" w:ascii="方正仿宋_GBK" w:hAnsi="方正仿宋_GBK" w:eastAsia="方正仿宋_GBK" w:cs="方正仿宋_GBK"/>
          <w:sz w:val="32"/>
          <w:szCs w:val="32"/>
          <w:shd w:val="clear" w:color="auto" w:fill="FFFFFF"/>
        </w:rPr>
        <w:t>主要原因是人员经费和公用经费拨款增加。</w:t>
      </w:r>
      <w:r>
        <w:rPr>
          <w:rFonts w:ascii="方正仿宋_GBK" w:hAnsi="方正仿宋_GBK" w:eastAsia="方正仿宋_GBK" w:cs="方正仿宋_GBK"/>
          <w:sz w:val="32"/>
          <w:szCs w:val="32"/>
          <w:shd w:val="clear" w:color="auto" w:fill="FFFFFF"/>
        </w:rPr>
        <w:t>较年初预算数增加14.03万元，增长20.97%。</w:t>
      </w:r>
      <w:r>
        <w:rPr>
          <w:rFonts w:hint="eastAsia" w:ascii="方正仿宋_GBK" w:hAnsi="方正仿宋_GBK" w:eastAsia="方正仿宋_GBK" w:cs="方正仿宋_GBK"/>
          <w:sz w:val="32"/>
          <w:szCs w:val="32"/>
          <w:shd w:val="clear" w:color="auto" w:fill="FFFFFF"/>
        </w:rPr>
        <w:t>主要原因是人员经费和公用经费支出增加。</w:t>
      </w:r>
    </w:p>
    <w:p>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lang w:eastAsia="zh-CN"/>
        </w:rPr>
      </w:pPr>
      <w:r>
        <w:rPr>
          <w:rStyle w:val="10"/>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hint="eastAsia" w:ascii="方正仿宋_GBK" w:hAnsi="方正仿宋_GBK" w:eastAsia="方正仿宋_GBK" w:cs="方正仿宋_GBK"/>
          <w:sz w:val="32"/>
          <w:szCs w:val="32"/>
          <w:shd w:val="clear" w:color="auto" w:fill="FFFFFF"/>
          <w:lang w:eastAsia="zh-CN"/>
        </w:rPr>
        <w:t>。</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10"/>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本单位2023年度一般公共预算财政拨款支出主要用于以下几个方面：</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（1）教育支出</w:t>
      </w:r>
      <w:r>
        <w:rPr>
          <w:rFonts w:ascii="方正仿宋_GBK" w:hAnsi="方正仿宋_GBK" w:eastAsia="方正仿宋_GBK" w:cs="方正仿宋_GBK"/>
          <w:sz w:val="32"/>
          <w:szCs w:val="32"/>
        </w:rPr>
        <w:t>0.18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0.22</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）文化旅游体育与传媒支出</w:t>
      </w:r>
      <w:r>
        <w:rPr>
          <w:rFonts w:ascii="方正仿宋_GBK" w:hAnsi="方正仿宋_GBK" w:eastAsia="方正仿宋_GBK" w:cs="方正仿宋_GBK"/>
          <w:sz w:val="32"/>
          <w:szCs w:val="32"/>
        </w:rPr>
        <w:t>61.20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75.61</w:t>
      </w:r>
      <w:r>
        <w:rPr>
          <w:rFonts w:ascii="方正仿宋_GBK" w:hAnsi="方正仿宋_GBK" w:eastAsia="方正仿宋_GBK" w:cs="方正仿宋_GBK"/>
          <w:sz w:val="32"/>
          <w:szCs w:val="32"/>
          <w:shd w:val="clear" w:color="auto" w:fill="FFFFFF"/>
        </w:rPr>
        <w:t>%，较年初预算数增加13.21万元，增长27.53%，</w:t>
      </w:r>
      <w:r>
        <w:rPr>
          <w:rFonts w:hint="eastAsia" w:ascii="方正仿宋_GBK" w:hAnsi="方正仿宋_GBK" w:eastAsia="方正仿宋_GBK" w:cs="方正仿宋_GBK"/>
          <w:sz w:val="32"/>
          <w:szCs w:val="32"/>
          <w:shd w:val="clear" w:color="auto" w:fill="FFFFFF"/>
        </w:rPr>
        <w:t>主要原因是工资调标及追加人员经费支出。</w:t>
      </w:r>
    </w:p>
    <w:p>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）社会保障与就业支出</w:t>
      </w:r>
      <w:r>
        <w:rPr>
          <w:rFonts w:ascii="方正仿宋_GBK" w:hAnsi="方正仿宋_GBK" w:eastAsia="方正仿宋_GBK" w:cs="方正仿宋_GBK"/>
          <w:sz w:val="32"/>
          <w:szCs w:val="32"/>
        </w:rPr>
        <w:t>13.36</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16.51</w:t>
      </w:r>
      <w:r>
        <w:rPr>
          <w:rFonts w:ascii="方正仿宋_GBK" w:hAnsi="方正仿宋_GBK" w:eastAsia="方正仿宋_GBK" w:cs="方正仿宋_GBK"/>
          <w:sz w:val="32"/>
          <w:szCs w:val="32"/>
          <w:shd w:val="clear" w:color="auto" w:fill="FFFFFF"/>
        </w:rPr>
        <w:t>%，较年初预算数增加0.81万元，增长6.45%，</w:t>
      </w:r>
      <w:r>
        <w:rPr>
          <w:rFonts w:hint="eastAsia"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val="en-US" w:eastAsia="zh-CN"/>
        </w:rPr>
        <w:t>增加</w:t>
      </w:r>
      <w:r>
        <w:rPr>
          <w:rFonts w:hint="eastAsia" w:ascii="方正仿宋_GBK" w:hAnsi="方正仿宋_GBK" w:eastAsia="方正仿宋_GBK" w:cs="方正仿宋_GBK"/>
          <w:sz w:val="32"/>
          <w:szCs w:val="32"/>
          <w:shd w:val="clear" w:color="auto" w:fill="FFFFFF"/>
        </w:rPr>
        <w:t>人员所致。</w:t>
      </w:r>
    </w:p>
    <w:p>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lang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3.31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4.09</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pPr>
        <w:ind w:firstLine="640" w:firstLineChars="200"/>
        <w:rPr>
          <w:rFonts w:hint="eastAsia" w:ascii="方正仿宋_GBK" w:hAnsi="方正仿宋_GBK" w:eastAsia="方正仿宋_GBK" w:cs="方正仿宋_GBK"/>
          <w:sz w:val="32"/>
          <w:szCs w:val="32"/>
          <w:shd w:val="clear" w:color="auto" w:fill="FFFFFF"/>
          <w:lang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住房保障支出2.89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3.57</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pPr>
        <w:ind w:firstLine="640" w:firstLineChars="200"/>
        <w:rPr>
          <w:rFonts w:hint="eastAsia" w:ascii="方正仿宋_GBK" w:hAnsi="方正仿宋_GBK" w:eastAsia="方正仿宋_GBK" w:cs="方正仿宋_GBK"/>
          <w:sz w:val="32"/>
          <w:szCs w:val="32"/>
          <w:shd w:val="clear" w:color="auto" w:fill="FFFFFF"/>
          <w:lang w:eastAsia="zh-CN"/>
        </w:rPr>
      </w:pPr>
    </w:p>
    <w:p>
      <w:pPr>
        <w:ind w:firstLine="640" w:firstLineChars="200"/>
        <w:rPr>
          <w:rFonts w:hint="eastAsia" w:ascii="方正仿宋_GBK" w:hAnsi="方正仿宋_GBK" w:eastAsia="方正仿宋_GBK" w:cs="方正仿宋_GBK"/>
          <w:sz w:val="32"/>
          <w:szCs w:val="32"/>
          <w:shd w:val="clear" w:color="auto" w:fill="FFFFFF"/>
          <w:lang w:eastAsia="zh-CN"/>
        </w:rPr>
      </w:pP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77.95</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71.43</w:t>
      </w:r>
      <w:r>
        <w:rPr>
          <w:rFonts w:ascii="方正仿宋_GBK" w:hAnsi="方正仿宋_GBK" w:eastAsia="方正仿宋_GBK" w:cs="方正仿宋_GBK"/>
          <w:sz w:val="32"/>
          <w:szCs w:val="32"/>
          <w:shd w:val="clear" w:color="auto" w:fill="FFFFFF"/>
        </w:rPr>
        <w:t>万元，较上年决算数增加15.05万元，增长26.69%，</w:t>
      </w:r>
      <w:r>
        <w:rPr>
          <w:rFonts w:hint="eastAsia" w:ascii="方正仿宋_GBK" w:hAnsi="方正仿宋_GBK" w:eastAsia="方正仿宋_GBK" w:cs="方正仿宋_GBK"/>
          <w:sz w:val="32"/>
          <w:szCs w:val="32"/>
          <w:shd w:val="clear" w:color="auto" w:fill="FFFFFF"/>
        </w:rPr>
        <w:t>主要原因是人员经费增加。人员经费用途主要包括基本工资、津贴补贴、绩效工资、住房公积金、养老保险、职业年金、医疗保险、奖金、平时考核、目标考核等。</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6.52</w:t>
      </w:r>
      <w:r>
        <w:rPr>
          <w:rFonts w:ascii="方正仿宋_GBK" w:hAnsi="方正仿宋_GBK" w:eastAsia="方正仿宋_GBK" w:cs="方正仿宋_GBK"/>
          <w:sz w:val="32"/>
          <w:szCs w:val="32"/>
          <w:shd w:val="clear" w:color="auto" w:fill="FFFFFF"/>
        </w:rPr>
        <w:t>万元，较上年决算数减少0.53万元，下降7.52%，</w:t>
      </w:r>
      <w:r>
        <w:rPr>
          <w:rFonts w:hint="eastAsia" w:ascii="方正仿宋_GBK" w:hAnsi="方正仿宋_GBK" w:eastAsia="方正仿宋_GBK" w:cs="方正仿宋_GBK"/>
          <w:sz w:val="32"/>
          <w:szCs w:val="32"/>
          <w:shd w:val="clear" w:color="auto" w:fill="FFFFFF"/>
        </w:rPr>
        <w:t>主要原因是公用经费增加。公用经费用途主要包括办公费、差旅费、水电费、邮电费、交通费、福利费、工会费等。</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本单位2023年度无政府性基金预算财政拨款收支。</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本单位2023年度无国有资本经营预算财政拨款支出。</w:t>
      </w:r>
    </w:p>
    <w:p>
      <w:pPr>
        <w:pStyle w:val="6"/>
        <w:shd w:val="clear" w:color="auto" w:fill="FFFFFF"/>
        <w:rPr>
          <w:rStyle w:val="10"/>
          <w:rFonts w:hint="default" w:ascii="黑体" w:hAnsi="黑体" w:eastAsia="黑体" w:cs="黑体"/>
          <w:sz w:val="32"/>
          <w:szCs w:val="32"/>
          <w:shd w:val="clear" w:color="auto" w:fill="FFFFFF"/>
        </w:rPr>
      </w:pPr>
      <w:r>
        <w:rPr>
          <w:rStyle w:val="10"/>
          <w:rFonts w:ascii="黑体" w:hAnsi="黑体" w:eastAsia="黑体" w:cs="黑体"/>
          <w:sz w:val="32"/>
          <w:szCs w:val="32"/>
          <w:shd w:val="clear" w:color="auto" w:fill="FFFFFF"/>
        </w:rPr>
        <w:t>三、“三公”经费情况说明</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xml:space="preserve"> （一）“三公”经费支出总体情况说明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0.10</w:t>
      </w:r>
      <w:r>
        <w:rPr>
          <w:rFonts w:ascii="方正仿宋_GBK" w:hAnsi="方正仿宋_GBK" w:eastAsia="方正仿宋_GBK" w:cs="方正仿宋_GBK"/>
          <w:sz w:val="32"/>
          <w:szCs w:val="32"/>
          <w:shd w:val="clear" w:color="auto" w:fill="FFFFFF"/>
        </w:rPr>
        <w:t>万元，较年初预算数无增减</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较上年支出数减少0.02万元，下降16.67%，</w:t>
      </w:r>
      <w:r>
        <w:rPr>
          <w:rFonts w:hint="eastAsia" w:ascii="方正仿宋_GBK" w:hAnsi="方正仿宋_GBK" w:eastAsia="方正仿宋_GBK" w:cs="方正仿宋_GBK"/>
          <w:sz w:val="32"/>
          <w:szCs w:val="32"/>
          <w:shd w:val="clear" w:color="auto" w:fill="FFFFFF"/>
        </w:rPr>
        <w:t>主要原因是严格执行中央八项规定精神,节约接待开支。</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0.10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rPr>
        <w:t>主要用于接待接受相关部门检查指导工作发生的。</w:t>
      </w:r>
      <w:r>
        <w:rPr>
          <w:rFonts w:ascii="方正仿宋_GBK" w:hAnsi="方正仿宋_GBK" w:eastAsia="方正仿宋_GBK" w:cs="方正仿宋_GBK"/>
          <w:sz w:val="32"/>
          <w:szCs w:val="32"/>
          <w:shd w:val="clear" w:color="auto" w:fill="FFFFFF"/>
        </w:rPr>
        <w:t>费用支出较年初预算数无增减，</w:t>
      </w:r>
      <w:r>
        <w:rPr>
          <w:rFonts w:hint="eastAsia" w:ascii="方正仿宋_GBK" w:hAnsi="方正仿宋_GBK" w:eastAsia="方正仿宋_GBK" w:cs="方正仿宋_GBK"/>
          <w:sz w:val="32"/>
          <w:szCs w:val="32"/>
          <w:shd w:val="clear" w:color="auto" w:fill="FFFFFF"/>
        </w:rPr>
        <w:t>主要原因是文化接待开支减少。</w:t>
      </w:r>
      <w:r>
        <w:rPr>
          <w:rFonts w:ascii="方正仿宋_GBK" w:hAnsi="方正仿宋_GBK" w:eastAsia="方正仿宋_GBK" w:cs="方正仿宋_GBK"/>
          <w:sz w:val="32"/>
          <w:szCs w:val="32"/>
          <w:shd w:val="clear" w:color="auto" w:fill="FFFFFF"/>
        </w:rPr>
        <w:t>较上年支出数减少0.02万元，下降16.67%，</w:t>
      </w:r>
      <w:r>
        <w:rPr>
          <w:rFonts w:hint="eastAsia" w:ascii="方正仿宋_GBK" w:hAnsi="方正仿宋_GBK" w:eastAsia="方正仿宋_GBK" w:cs="方正仿宋_GBK"/>
          <w:sz w:val="32"/>
          <w:szCs w:val="32"/>
          <w:shd w:val="clear" w:color="auto" w:fill="FFFFFF"/>
        </w:rPr>
        <w:t>主要原因是文化接待开支减少。</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2023年度本单位因公出国（境）共计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5</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22</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43.64</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p>
    <w:p>
      <w:pPr>
        <w:pStyle w:val="6"/>
        <w:shd w:val="clear" w:color="auto" w:fill="FFFFFF"/>
        <w:rPr>
          <w:rStyle w:val="10"/>
          <w:rFonts w:hint="default" w:ascii="方正仿宋_GBK" w:hAnsi="方正仿宋_GBK" w:eastAsia="方正仿宋_GBK" w:cs="方正仿宋_GBK"/>
          <w:sz w:val="32"/>
          <w:szCs w:val="32"/>
          <w:shd w:val="clear" w:color="auto" w:fill="FFFFFF"/>
        </w:rPr>
      </w:pPr>
      <w:r>
        <w:rPr>
          <w:rStyle w:val="10"/>
          <w:rFonts w:ascii="黑体" w:hAnsi="黑体" w:eastAsia="黑体" w:cs="黑体"/>
          <w:sz w:val="32"/>
          <w:szCs w:val="32"/>
          <w:shd w:val="clear" w:color="auto" w:fill="FFFFFF"/>
        </w:rPr>
        <w:t>四、其他需要说明的事项</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（一）财政拨款会议费和培训费情况说明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万元，本年度培训费支出</w:t>
      </w:r>
      <w:r>
        <w:rPr>
          <w:rFonts w:ascii="方正仿宋_GBK" w:hAnsi="方正仿宋_GBK" w:eastAsia="方正仿宋_GBK" w:cs="方正仿宋_GBK"/>
          <w:sz w:val="32"/>
          <w:szCs w:val="32"/>
        </w:rPr>
        <w:t>0.18</w:t>
      </w:r>
      <w:r>
        <w:rPr>
          <w:rFonts w:ascii="方正仿宋_GBK" w:hAnsi="方正仿宋_GBK" w:eastAsia="方正仿宋_GBK" w:cs="方正仿宋_GBK"/>
          <w:sz w:val="32"/>
          <w:szCs w:val="32"/>
          <w:shd w:val="clear" w:color="auto" w:fill="FFFFFF"/>
        </w:rPr>
        <w:t>万元，较上年决算数增加0.02万元，增长12.50%，</w:t>
      </w:r>
      <w:r>
        <w:rPr>
          <w:rFonts w:hint="eastAsia" w:ascii="方正仿宋_GBK" w:hAnsi="方正仿宋_GBK" w:eastAsia="方正仿宋_GBK" w:cs="方正仿宋_GBK"/>
          <w:sz w:val="32"/>
          <w:szCs w:val="32"/>
          <w:shd w:val="clear" w:color="auto" w:fill="FFFFFF"/>
        </w:rPr>
        <w:t>主要原因是文化培训。</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（二）机关运行经费情况说明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年度本部门机关运行经费支出0.00万元,按照部门决算口径,我单位不在机关运行经费之列。</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rPr>
      </w:pPr>
      <w:r>
        <w:rPr>
          <w:rFonts w:ascii="方正仿宋_GBK" w:hAnsi="方正仿宋_GBK" w:eastAsia="方正仿宋_GBK" w:cs="方正仿宋_GBK"/>
          <w:sz w:val="32"/>
          <w:szCs w:val="32"/>
          <w:shd w:val="clear" w:color="auto" w:fill="FFFFFF"/>
        </w:rPr>
        <w:t>  截至2023年12月31日，本单位共有车辆</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pPr>
        <w:pStyle w:val="6"/>
        <w:snapToGrid w:val="0"/>
        <w:spacing w:before="0" w:beforeAutospacing="0" w:after="0" w:afterAutospacing="0" w:line="600" w:lineRule="exact"/>
        <w:ind w:firstLine="1280" w:firstLineChars="400"/>
        <w:jc w:val="both"/>
        <w:rPr>
          <w:rFonts w:hint="eastAsia" w:ascii="方正仿宋_GBK" w:hAnsi="方正仿宋_GBK" w:eastAsia="方正仿宋_GBK" w:cs="方正仿宋_GBK"/>
          <w:color w:val="FF0000"/>
          <w:sz w:val="32"/>
          <w:szCs w:val="32"/>
          <w:shd w:val="clear" w:color="auto" w:fill="FFFFFF"/>
          <w:lang w:val="en-US" w:eastAsia="zh-CN"/>
        </w:rPr>
      </w:pPr>
      <w:r>
        <w:rPr>
          <w:rFonts w:ascii="方正仿宋_GBK" w:hAnsi="方正仿宋_GBK" w:eastAsia="方正仿宋_GBK" w:cs="方正仿宋_GBK"/>
          <w:sz w:val="32"/>
          <w:szCs w:val="32"/>
          <w:shd w:val="clear" w:color="auto" w:fill="FFFFFF"/>
        </w:rPr>
        <w:t>  2023年度本单位政府采购支出总额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lang w:val="en-US" w:eastAsia="zh-CN"/>
        </w:rPr>
        <w:t>.</w:t>
      </w:r>
    </w:p>
    <w:p>
      <w:pPr>
        <w:pStyle w:val="6"/>
        <w:numPr>
          <w:ilvl w:val="0"/>
          <w:numId w:val="2"/>
        </w:numPr>
        <w:shd w:val="clear" w:color="auto" w:fill="FFFFFF"/>
        <w:rPr>
          <w:rStyle w:val="10"/>
          <w:rFonts w:ascii="黑体" w:hAnsi="黑体" w:eastAsia="黑体" w:cs="黑体"/>
          <w:sz w:val="32"/>
          <w:szCs w:val="32"/>
          <w:shd w:val="clear" w:color="auto" w:fill="FFFFFF"/>
        </w:rPr>
      </w:pPr>
      <w:r>
        <w:rPr>
          <w:rStyle w:val="10"/>
          <w:rFonts w:ascii="黑体" w:hAnsi="黑体" w:eastAsia="黑体" w:cs="黑体"/>
          <w:sz w:val="32"/>
          <w:szCs w:val="32"/>
          <w:shd w:val="clear" w:color="auto" w:fill="FFFFFF"/>
        </w:rPr>
        <w:t>预算绩效管理情况说明</w:t>
      </w:r>
    </w:p>
    <w:p>
      <w:pPr>
        <w:pStyle w:val="12"/>
        <w:autoSpaceDE w:val="0"/>
        <w:spacing w:before="0" w:beforeAutospacing="0" w:line="600" w:lineRule="exact"/>
        <w:jc w:val="both"/>
        <w:rPr>
          <w:rStyle w:val="10"/>
          <w:rFonts w:hint="default" w:ascii="黑体" w:hAnsi="黑体" w:eastAsia="黑体" w:cs="黑体"/>
          <w:sz w:val="32"/>
          <w:szCs w:val="32"/>
          <w:shd w:val="clear" w:color="auto" w:fill="FFFFFF"/>
        </w:rPr>
      </w:pPr>
      <w:r>
        <w:rPr>
          <w:rFonts w:hint="eastAsia" w:ascii="方正仿宋_GBK" w:hAnsi="方正仿宋_GBK" w:eastAsia="方正仿宋_GBK" w:cs="方正仿宋_GBK"/>
          <w:sz w:val="32"/>
          <w:szCs w:val="32"/>
          <w:shd w:val="clear" w:color="auto" w:fill="FFFFFF"/>
          <w:lang w:val="en-US" w:eastAsia="zh-CN" w:bidi="ar-SA"/>
        </w:rPr>
        <w:t>2023年度本单位无项目预算绩效管理。</w:t>
      </w:r>
      <w:bookmarkStart w:id="0" w:name="_GoBack"/>
      <w:bookmarkEnd w:id="0"/>
    </w:p>
    <w:p>
      <w:pPr>
        <w:pStyle w:val="6"/>
        <w:numPr>
          <w:numId w:val="0"/>
        </w:numPr>
        <w:shd w:val="clear" w:color="auto" w:fill="FFFFFF"/>
        <w:rPr>
          <w:rStyle w:val="10"/>
          <w:rFonts w:hint="default" w:ascii="方正仿宋_GBK" w:hAnsi="方正仿宋_GBK" w:eastAsia="方正仿宋_GBK" w:cs="方正仿宋_GBK"/>
          <w:sz w:val="32"/>
          <w:szCs w:val="32"/>
          <w:shd w:val="clear" w:color="auto" w:fill="FFFFFF"/>
        </w:rPr>
      </w:pPr>
      <w:r>
        <w:rPr>
          <w:rStyle w:val="10"/>
          <w:rFonts w:ascii="黑体" w:hAnsi="黑体" w:eastAsia="黑体" w:cs="黑体"/>
          <w:sz w:val="32"/>
          <w:szCs w:val="32"/>
          <w:shd w:val="clear" w:color="auto" w:fill="FFFFFF"/>
        </w:rPr>
        <w:t>六、专业名词解释</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rPr>
        <w:t> </w:t>
      </w: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shd w:val="clear" w:color="auto" w:fill="FFFFFF"/>
        <w:rPr>
          <w:rStyle w:val="10"/>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 xml:space="preserve">  </w:t>
      </w:r>
      <w:r>
        <w:rPr>
          <w:rStyle w:val="10"/>
          <w:rFonts w:ascii="黑体" w:hAnsi="黑体" w:eastAsia="黑体" w:cs="黑体"/>
          <w:sz w:val="32"/>
          <w:szCs w:val="32"/>
          <w:shd w:val="clear" w:color="auto" w:fill="FFFFFF"/>
        </w:rPr>
        <w:t>七、决算公开联系方式及信息反馈渠道</w:t>
      </w:r>
    </w:p>
    <w:p>
      <w:pPr>
        <w:pStyle w:val="11"/>
        <w:autoSpaceDE w:val="0"/>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r>
        <w:rPr>
          <w:rFonts w:ascii="方正仿宋_GBK" w:hAnsi="方正仿宋_GBK" w:eastAsia="方正仿宋_GBK" w:cs="方正仿宋_GBK"/>
          <w:sz w:val="32"/>
          <w:szCs w:val="32"/>
          <w:shd w:val="clear" w:color="auto" w:fill="FFFFFF"/>
        </w:rPr>
        <w:t>本单位决算公开信息反馈和联系方式：</w:t>
      </w:r>
      <w:r>
        <w:rPr>
          <w:rFonts w:hint="eastAsia" w:ascii="方正仿宋_GBK" w:hAnsi="方正仿宋_GBK" w:eastAsia="方正仿宋_GBK" w:cs="方正仿宋_GBK"/>
          <w:sz w:val="32"/>
          <w:szCs w:val="32"/>
          <w:shd w:val="clear" w:color="auto" w:fill="FFFFFF"/>
        </w:rPr>
        <w:t>023-54722022</w:t>
      </w:r>
    </w:p>
    <w:p>
      <w:pPr>
        <w:rPr>
          <w:rFonts w:hint="default" w:cs="宋体"/>
          <w:sz w:val="21"/>
          <w:szCs w:val="21"/>
        </w:rPr>
      </w:pPr>
    </w:p>
    <w:tbl>
      <w:tblPr>
        <w:tblStyle w:val="7"/>
        <w:tblW w:w="5005" w:type="pct"/>
        <w:tblInd w:w="0" w:type="dxa"/>
        <w:tblLayout w:type="autofit"/>
        <w:tblCellMar>
          <w:top w:w="0" w:type="dxa"/>
          <w:left w:w="0" w:type="dxa"/>
          <w:bottom w:w="0" w:type="dxa"/>
          <w:right w:w="0" w:type="dxa"/>
        </w:tblCellMar>
      </w:tblPr>
      <w:tblGrid>
        <w:gridCol w:w="5122"/>
        <w:gridCol w:w="2020"/>
        <w:gridCol w:w="4809"/>
        <w:gridCol w:w="3442"/>
      </w:tblGrid>
      <w:tr>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公开单位：</w:t>
            </w:r>
            <w:r>
              <w:rPr>
                <w:sz w:val="20"/>
                <w:u w:color="auto"/>
              </w:rPr>
              <w:t>重庆市忠县黄金镇文化服务中心</w:t>
            </w: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80.95</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0.18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61.20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13.36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3.31</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2.89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80.95</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80.95</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80.95</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80.95</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备注：1.本表反映单位本年度的总收支和年末结转结余情况。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7"/>
        <w:tblW w:w="5000" w:type="pct"/>
        <w:tblInd w:w="0" w:type="dxa"/>
        <w:tblLayout w:type="fixed"/>
        <w:tblCellMar>
          <w:top w:w="0" w:type="dxa"/>
          <w:left w:w="0" w:type="dxa"/>
          <w:bottom w:w="0" w:type="dxa"/>
          <w:right w:w="0" w:type="dxa"/>
        </w:tblCellMar>
      </w:tblPr>
      <w:tblGrid>
        <w:gridCol w:w="1702"/>
        <w:gridCol w:w="3171"/>
        <w:gridCol w:w="1233"/>
        <w:gridCol w:w="1233"/>
        <w:gridCol w:w="1233"/>
        <w:gridCol w:w="1233"/>
        <w:gridCol w:w="1366"/>
        <w:gridCol w:w="1307"/>
        <w:gridCol w:w="1439"/>
        <w:gridCol w:w="1461"/>
      </w:tblGrid>
      <w:tr>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sz w:val="20"/>
                <w:u w:color="auto"/>
              </w:rPr>
              <w:t>重庆市忠县黄金镇文化服务中心</w:t>
            </w: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80.95</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80.95</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备注：1.本表反映单位本年度取得的各项收入情况。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7"/>
        <w:tblW w:w="5000" w:type="pct"/>
        <w:tblInd w:w="0" w:type="dxa"/>
        <w:tblLayout w:type="autofit"/>
        <w:tblCellMar>
          <w:top w:w="0" w:type="dxa"/>
          <w:left w:w="0" w:type="dxa"/>
          <w:bottom w:w="0" w:type="dxa"/>
          <w:right w:w="0" w:type="dxa"/>
        </w:tblCellMar>
      </w:tblPr>
      <w:tblGrid>
        <w:gridCol w:w="1802"/>
        <w:gridCol w:w="3355"/>
        <w:gridCol w:w="1701"/>
        <w:gridCol w:w="1701"/>
        <w:gridCol w:w="1701"/>
        <w:gridCol w:w="1685"/>
        <w:gridCol w:w="1685"/>
        <w:gridCol w:w="1748"/>
      </w:tblGrid>
      <w:tr>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 xml:space="preserve">重庆市忠县黄金镇文化服务中心 </w:t>
            </w: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80.95</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77.95</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3.00</w:t>
            </w: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3.57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备注：1.本表反映单位本年度各项支出情况。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4790" w:type="pct"/>
        <w:tblInd w:w="0" w:type="dxa"/>
        <w:tblLayout w:type="autofit"/>
        <w:tblCellMar>
          <w:top w:w="0" w:type="dxa"/>
          <w:left w:w="0" w:type="dxa"/>
          <w:bottom w:w="0" w:type="dxa"/>
          <w:right w:w="0" w:type="dxa"/>
        </w:tblCellMar>
      </w:tblPr>
      <w:tblGrid>
        <w:gridCol w:w="2979"/>
        <w:gridCol w:w="1526"/>
        <w:gridCol w:w="3191"/>
        <w:gridCol w:w="1700"/>
        <w:gridCol w:w="1700"/>
        <w:gridCol w:w="1700"/>
        <w:gridCol w:w="1936"/>
      </w:tblGrid>
      <w:tr>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13.36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13.36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3.31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3.31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2.89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2.89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80.95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备注：1.本表反映单位本年度一般公共预算财政拨款、政府性基金预算财政拨款及国有资本经营预算财政拨款的总收支和年末结转结余情况。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57"/>
        <w:gridCol w:w="3549"/>
        <w:gridCol w:w="3319"/>
        <w:gridCol w:w="3319"/>
        <w:gridCol w:w="3334"/>
      </w:tblGrid>
      <w:tr>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80.95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77.95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0.18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0.18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61.20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58.20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61.20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58.20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58.20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13.36</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13.36</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3.57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3.57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8.01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8.01</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2.23</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备注：1.本表反映单位本年度一般公共预算财政拨款支出情况。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7"/>
        <w:tblW w:w="4994" w:type="pct"/>
        <w:tblInd w:w="0" w:type="dxa"/>
        <w:tblLayout w:type="fixed"/>
        <w:tblCellMar>
          <w:top w:w="0" w:type="dxa"/>
          <w:left w:w="0" w:type="dxa"/>
          <w:bottom w:w="0" w:type="dxa"/>
          <w:right w:w="0" w:type="dxa"/>
        </w:tblCellMar>
      </w:tblPr>
      <w:tblGrid>
        <w:gridCol w:w="605"/>
        <w:gridCol w:w="2740"/>
        <w:gridCol w:w="1376"/>
        <w:gridCol w:w="836"/>
        <w:gridCol w:w="1923"/>
        <w:gridCol w:w="1656"/>
        <w:gridCol w:w="808"/>
        <w:gridCol w:w="3527"/>
        <w:gridCol w:w="1889"/>
      </w:tblGrid>
      <w:tr>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1809" w:type="pct"/>
            <w:gridSpan w:val="4"/>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626"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1809" w:type="pct"/>
            <w:gridSpan w:val="4"/>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26"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62.19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6.52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12.42</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0.83</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2.26</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34.13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1.78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0.33</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2.23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0.43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2.89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0.48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9.24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0.18</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7.71</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0.93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0.60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0.81</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0.42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1.80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71.43</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6.52</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备注：1.本表反映单位本年度一般公共预算财政拨款基本支出明细情况。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54"/>
        <w:gridCol w:w="3088"/>
        <w:gridCol w:w="1707"/>
        <w:gridCol w:w="1707"/>
        <w:gridCol w:w="1707"/>
        <w:gridCol w:w="1707"/>
        <w:gridCol w:w="1772"/>
        <w:gridCol w:w="1836"/>
      </w:tblGrid>
      <w:tr>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备注：本表反映单位本年度政府性基金预算财政拨款收入支出及结转和结余情况。本单位无政府性基金收支，故本表无数据。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82"/>
        <w:gridCol w:w="3060"/>
        <w:gridCol w:w="3276"/>
        <w:gridCol w:w="200"/>
        <w:gridCol w:w="3475"/>
        <w:gridCol w:w="77"/>
        <w:gridCol w:w="3408"/>
      </w:tblGrid>
      <w:tr>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备注：本表反映单位本年度国有资本经营预算财政拨款支出情况。本单位无国有资本经营收支，故本表无数据。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7"/>
        <w:tblW w:w="4877" w:type="pct"/>
        <w:tblInd w:w="0" w:type="dxa"/>
        <w:tblLayout w:type="fixed"/>
        <w:tblCellMar>
          <w:top w:w="0" w:type="dxa"/>
          <w:left w:w="170" w:type="dxa"/>
          <w:bottom w:w="0" w:type="dxa"/>
          <w:right w:w="170" w:type="dxa"/>
        </w:tblCellMar>
      </w:tblPr>
      <w:tblGrid>
        <w:gridCol w:w="4041"/>
        <w:gridCol w:w="2166"/>
        <w:gridCol w:w="2115"/>
        <w:gridCol w:w="4524"/>
        <w:gridCol w:w="2154"/>
      </w:tblGrid>
      <w:tr>
        <w:tblPrEx>
          <w:tblCellMar>
            <w:top w:w="0" w:type="dxa"/>
            <w:left w:w="170" w:type="dxa"/>
            <w:bottom w:w="0" w:type="dxa"/>
            <w:right w:w="170" w:type="dxa"/>
          </w:tblCellMar>
        </w:tblPrEx>
        <w:trPr>
          <w:trHeight w:val="343"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tblPrEx>
          <w:tblCellMar>
            <w:top w:w="0" w:type="dxa"/>
            <w:left w:w="170" w:type="dxa"/>
            <w:bottom w:w="0" w:type="dxa"/>
            <w:right w:w="170" w:type="dxa"/>
          </w:tblCellMar>
        </w:tblPrEx>
        <w:trPr>
          <w:trHeight w:val="244" w:hRule="atLeast"/>
        </w:trPr>
        <w:tc>
          <w:tcPr>
            <w:tcW w:w="1347" w:type="pct"/>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22"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center"/>
              <w:rPr>
                <w:rFonts w:hint="default" w:cs="宋体"/>
                <w:color w:val="000000"/>
                <w:sz w:val="20"/>
                <w:szCs w:val="20"/>
              </w:rPr>
            </w:pPr>
          </w:p>
        </w:tc>
        <w:tc>
          <w:tcPr>
            <w:tcW w:w="70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1508" w:type="pct"/>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公开09表</w:t>
            </w:r>
          </w:p>
        </w:tc>
      </w:tr>
      <w:tr>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重庆市忠县黄金镇文化服务中心</w:t>
            </w:r>
          </w:p>
        </w:tc>
        <w:tc>
          <w:tcPr>
            <w:tcW w:w="705"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1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705"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1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四、机关运行经费</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五、资产信息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22</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r>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0.18</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bl>
    <w:p>
      <w:pPr>
        <w:rPr>
          <w:rFonts w:hint="default" w:cs="宋体"/>
          <w:sz w:val="21"/>
          <w:szCs w:val="21"/>
        </w:rPr>
      </w:pPr>
      <w:r>
        <w:rPr>
          <w:rFonts w:cs="宋体"/>
          <w:sz w:val="20"/>
          <w:szCs w:val="20"/>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839" w:h="11907"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r>
      <w:rPr>
        <w:rFonts w:hint="default"/>
      </w:rPr>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3"/>
                  <w:rPr>
                    <w:rFonts w:hint="default"/>
                  </w:rPr>
                </w:pPr>
                <w:r>
                  <w:fldChar w:fldCharType="begin"/>
                </w:r>
                <w:r>
                  <w:instrText xml:space="preserve"> PAGE  \* MERGEFORMAT </w:instrText>
                </w:r>
                <w:r>
                  <w:fldChar w:fldCharType="separate"/>
                </w:r>
                <w:r>
                  <w:rPr>
                    <w:rFonts w:hint="default"/>
                  </w:rPr>
                  <w:t>- 4 -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w:pict>
        <v:shape id="_x0000_s1028" o:spid="_x0000_s1028"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26DFD5"/>
    <w:multiLevelType w:val="singleLevel"/>
    <w:tmpl w:val="0C26DFD5"/>
    <w:lvl w:ilvl="0" w:tentative="0">
      <w:start w:val="2"/>
      <w:numFmt w:val="chineseCounting"/>
      <w:suff w:val="nothing"/>
      <w:lvlText w:val="（%1）"/>
      <w:lvlJc w:val="left"/>
      <w:rPr>
        <w:rFonts w:hint="eastAsia"/>
      </w:rPr>
    </w:lvl>
  </w:abstractNum>
  <w:abstractNum w:abstractNumId="1">
    <w:nsid w:val="6B198C29"/>
    <w:multiLevelType w:val="singleLevel"/>
    <w:tmpl w:val="6B198C29"/>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1D3BB7"/>
    <w:rsid w:val="001D4B26"/>
    <w:rsid w:val="002B254B"/>
    <w:rsid w:val="00466C9B"/>
    <w:rsid w:val="00550ABE"/>
    <w:rsid w:val="00770383"/>
    <w:rsid w:val="007819D4"/>
    <w:rsid w:val="007B419D"/>
    <w:rsid w:val="007B7C4B"/>
    <w:rsid w:val="007D3D39"/>
    <w:rsid w:val="00994AF7"/>
    <w:rsid w:val="009B67B8"/>
    <w:rsid w:val="009D2B67"/>
    <w:rsid w:val="00A566F9"/>
    <w:rsid w:val="00AF2751"/>
    <w:rsid w:val="00B03CCD"/>
    <w:rsid w:val="00BE2B89"/>
    <w:rsid w:val="00C10E9E"/>
    <w:rsid w:val="00C20C3E"/>
    <w:rsid w:val="00F73F90"/>
    <w:rsid w:val="01474EBF"/>
    <w:rsid w:val="01F3521E"/>
    <w:rsid w:val="024E43D4"/>
    <w:rsid w:val="02854684"/>
    <w:rsid w:val="02FD2AA1"/>
    <w:rsid w:val="03B87EA0"/>
    <w:rsid w:val="03E3214F"/>
    <w:rsid w:val="044C50BA"/>
    <w:rsid w:val="058361B3"/>
    <w:rsid w:val="05BC6D49"/>
    <w:rsid w:val="06194FF1"/>
    <w:rsid w:val="069110FD"/>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0FA85D6B"/>
    <w:rsid w:val="107B59E5"/>
    <w:rsid w:val="10EC0126"/>
    <w:rsid w:val="10F70B9A"/>
    <w:rsid w:val="111445C7"/>
    <w:rsid w:val="114278C6"/>
    <w:rsid w:val="1158083A"/>
    <w:rsid w:val="11643A4B"/>
    <w:rsid w:val="11ED0F98"/>
    <w:rsid w:val="11F03528"/>
    <w:rsid w:val="12C921C4"/>
    <w:rsid w:val="13146A05"/>
    <w:rsid w:val="134B0DDC"/>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2A22370"/>
    <w:rsid w:val="24B92327"/>
    <w:rsid w:val="24C14514"/>
    <w:rsid w:val="2533755C"/>
    <w:rsid w:val="25791755"/>
    <w:rsid w:val="26396DF4"/>
    <w:rsid w:val="27167136"/>
    <w:rsid w:val="271B442C"/>
    <w:rsid w:val="27B23302"/>
    <w:rsid w:val="29310A5F"/>
    <w:rsid w:val="29C37A35"/>
    <w:rsid w:val="2A076083"/>
    <w:rsid w:val="2A73162E"/>
    <w:rsid w:val="2B167953"/>
    <w:rsid w:val="2B200583"/>
    <w:rsid w:val="2B8209DE"/>
    <w:rsid w:val="2C636760"/>
    <w:rsid w:val="2C6762A3"/>
    <w:rsid w:val="2CA55318"/>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3E3D7D"/>
    <w:rsid w:val="3F694D83"/>
    <w:rsid w:val="3F885DCC"/>
    <w:rsid w:val="3FCD675E"/>
    <w:rsid w:val="4004000C"/>
    <w:rsid w:val="40BD5482"/>
    <w:rsid w:val="411B6CE5"/>
    <w:rsid w:val="412070D7"/>
    <w:rsid w:val="41314E40"/>
    <w:rsid w:val="41E0734B"/>
    <w:rsid w:val="426C1EA8"/>
    <w:rsid w:val="42736402"/>
    <w:rsid w:val="42E86A87"/>
    <w:rsid w:val="43307B09"/>
    <w:rsid w:val="439A3EB9"/>
    <w:rsid w:val="43BB152F"/>
    <w:rsid w:val="4414531D"/>
    <w:rsid w:val="443319A7"/>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AFE7AFF"/>
    <w:rsid w:val="4B135857"/>
    <w:rsid w:val="4B7951CB"/>
    <w:rsid w:val="4B7C315C"/>
    <w:rsid w:val="4C2C208C"/>
    <w:rsid w:val="4DAC4ACA"/>
    <w:rsid w:val="4DBE01D2"/>
    <w:rsid w:val="4F0C6BA3"/>
    <w:rsid w:val="4F186D58"/>
    <w:rsid w:val="4F44617C"/>
    <w:rsid w:val="50F06B6E"/>
    <w:rsid w:val="51D21804"/>
    <w:rsid w:val="52234D33"/>
    <w:rsid w:val="522F6E0C"/>
    <w:rsid w:val="52463BA1"/>
    <w:rsid w:val="52F163D4"/>
    <w:rsid w:val="531A2DB4"/>
    <w:rsid w:val="537F4FC9"/>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7C93994"/>
    <w:rsid w:val="5842572D"/>
    <w:rsid w:val="58935229"/>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5D2051C"/>
    <w:rsid w:val="66267C04"/>
    <w:rsid w:val="663F505A"/>
    <w:rsid w:val="66EE5541"/>
    <w:rsid w:val="67924660"/>
    <w:rsid w:val="68407834"/>
    <w:rsid w:val="6883293E"/>
    <w:rsid w:val="688412AD"/>
    <w:rsid w:val="68EB1B71"/>
    <w:rsid w:val="6A6C7940"/>
    <w:rsid w:val="6AAD2300"/>
    <w:rsid w:val="6B474EF5"/>
    <w:rsid w:val="6BDF54BF"/>
    <w:rsid w:val="6C0A5AC5"/>
    <w:rsid w:val="6C525DD4"/>
    <w:rsid w:val="6C560CAE"/>
    <w:rsid w:val="6C576495"/>
    <w:rsid w:val="6D903FF5"/>
    <w:rsid w:val="6DA955B8"/>
    <w:rsid w:val="6DE346AB"/>
    <w:rsid w:val="6DE5391A"/>
    <w:rsid w:val="6EFD1324"/>
    <w:rsid w:val="6F5A53AC"/>
    <w:rsid w:val="6FAC003D"/>
    <w:rsid w:val="6FE55E12"/>
    <w:rsid w:val="6FFB2E76"/>
    <w:rsid w:val="708F6F7F"/>
    <w:rsid w:val="70D94BD3"/>
    <w:rsid w:val="71C34D91"/>
    <w:rsid w:val="728762D7"/>
    <w:rsid w:val="72DB435C"/>
    <w:rsid w:val="72E2613A"/>
    <w:rsid w:val="72F771F4"/>
    <w:rsid w:val="73523813"/>
    <w:rsid w:val="73934AD2"/>
    <w:rsid w:val="73F93DCE"/>
    <w:rsid w:val="750837F0"/>
    <w:rsid w:val="754758CF"/>
    <w:rsid w:val="764F62AB"/>
    <w:rsid w:val="765C45EC"/>
    <w:rsid w:val="768A7619"/>
    <w:rsid w:val="772E1EBA"/>
    <w:rsid w:val="77DD0767"/>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4001</Words>
  <Characters>22811</Characters>
  <Lines>190</Lines>
  <Paragraphs>53</Paragraphs>
  <TotalTime>0</TotalTime>
  <ScaleCrop>false</ScaleCrop>
  <LinksUpToDate>false</LinksUpToDate>
  <CharactersWithSpaces>26759</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2024-10-11T08:34:24Z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BB46EABDBB2749749395447164B066B3_12</vt:lpwstr>
  </property>
</Properties>
</file>