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重庆市忠县黄金镇农业服务中心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负责本辖区为农业发展提供服务,负责农技、农机、林业、种植、水产等方面重大技术推广,信息服务,资源环境保护,灾害防治等工作。</w:t>
      </w:r>
    </w:p>
    <w:p>
      <w:pPr>
        <w:pStyle w:val="6"/>
        <w:numPr>
          <w:ilvl w:val="0"/>
          <w:numId w:val="1"/>
        </w:numPr>
        <w:shd w:val="clear" w:color="auto" w:fill="FFFFFF"/>
        <w:ind w:firstLine="420"/>
        <w:rPr>
          <w:rStyle w:val="10"/>
          <w:rFonts w:ascii="楷体" w:hAnsi="楷体" w:eastAsia="楷体" w:cs="楷体"/>
          <w:sz w:val="32"/>
          <w:szCs w:val="32"/>
          <w:shd w:val="clear" w:color="auto" w:fill="FFFFFF"/>
        </w:rPr>
      </w:pPr>
      <w:r>
        <w:rPr>
          <w:rStyle w:val="10"/>
          <w:rFonts w:ascii="楷体" w:hAnsi="楷体" w:eastAsia="楷体" w:cs="楷体"/>
          <w:sz w:val="32"/>
          <w:szCs w:val="32"/>
          <w:shd w:val="clear" w:color="auto" w:fill="FFFFFF"/>
        </w:rPr>
        <w:t>机构设置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内设1个综合办公室和农产品质量安全监管站。</w:t>
      </w:r>
    </w:p>
    <w:p>
      <w:pPr>
        <w:pStyle w:val="6"/>
        <w:numPr>
          <w:ilvl w:val="0"/>
          <w:numId w:val="1"/>
        </w:numPr>
        <w:shd w:val="clear" w:color="auto" w:fill="FFFFFF"/>
        <w:ind w:firstLine="420"/>
        <w:rPr>
          <w:rStyle w:val="10"/>
          <w:rFonts w:hint="default"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lang w:val="en-US" w:eastAsia="zh-CN"/>
        </w:rPr>
        <w:t>单位构成</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按单位性质分:本单位为事业单位，从预算单位构成看,本单位为二级预算单位,无下级预算单位。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2023年度收入总计370.55万元，支出总计</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万元。收支较上年决算数增加74.73万元，增长25.26%，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2023年度收入合计370.55万元，较上年决算数增加74.73万元，增长25.26%，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，导致人员经费支出和公用经费拨款收入</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年初结转和结余0.00万元。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2023年度财政拨款收、支总计370.55万元。与2022年相比，财政拨款收、支总计各增加74.73万元，增长25.26%。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，导致人员经费支出和公用经费拨款收入</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较年初预算数增加86.99万元，增长30.68%。</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万元，较上年决算数增加74.73万元，增长25.26%。</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较年初预算数增加86.99万元，增长30.68%。</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rPr>
        <w:t>主要原因是经费紧张，决算时收支平衡，无结余。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0.26</w:t>
      </w:r>
      <w:r>
        <w:rPr>
          <w:rFonts w:ascii="方正仿宋_GBK" w:hAnsi="方正仿宋_GBK" w:eastAsia="方正仿宋_GBK" w:cs="方正仿宋_GBK"/>
          <w:sz w:val="32"/>
          <w:szCs w:val="32"/>
          <w:shd w:val="clear" w:color="auto" w:fill="FFFFFF"/>
        </w:rPr>
        <w:t>%，较年初预算数增加0.02万元，增长2.13%，主要原因是</w:t>
      </w:r>
      <w:r>
        <w:rPr>
          <w:rFonts w:hint="eastAsia" w:ascii="方正仿宋_GBK" w:hAnsi="方正仿宋_GBK" w:eastAsia="方正仿宋_GBK" w:cs="方正仿宋_GBK"/>
          <w:sz w:val="32"/>
          <w:szCs w:val="32"/>
          <w:shd w:val="clear" w:color="auto" w:fill="FFFFFF"/>
          <w:lang w:val="en-US" w:eastAsia="zh-CN"/>
        </w:rPr>
        <w:t>人员增加。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44.51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12.01</w:t>
      </w:r>
      <w:r>
        <w:rPr>
          <w:rFonts w:ascii="方正仿宋_GBK" w:hAnsi="方正仿宋_GBK" w:eastAsia="方正仿宋_GBK" w:cs="方正仿宋_GBK"/>
          <w:sz w:val="32"/>
          <w:szCs w:val="32"/>
          <w:shd w:val="clear" w:color="auto" w:fill="FFFFFF"/>
        </w:rPr>
        <w:t>%，较年初预算数减少0.85万元，下降1.87%，</w:t>
      </w:r>
      <w:r>
        <w:rPr>
          <w:rFonts w:hint="eastAsia" w:ascii="方正仿宋_GBK" w:hAnsi="方正仿宋_GBK" w:eastAsia="方正仿宋_GBK" w:cs="方正仿宋_GBK"/>
          <w:sz w:val="32"/>
          <w:szCs w:val="32"/>
          <w:shd w:val="clear" w:color="auto" w:fill="FFFFFF"/>
          <w:lang w:val="en-US" w:eastAsia="zh-CN"/>
        </w:rPr>
        <w:t>主要原因是本单位2023年人员调资、及保险费率提高导致社会保障与就业支出减少。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14.81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4.00</w:t>
      </w:r>
      <w:r>
        <w:rPr>
          <w:rFonts w:ascii="方正仿宋_GBK" w:hAnsi="方正仿宋_GBK" w:eastAsia="方正仿宋_GBK" w:cs="方正仿宋_GBK"/>
          <w:sz w:val="32"/>
          <w:szCs w:val="32"/>
          <w:shd w:val="clear" w:color="auto" w:fill="FFFFFF"/>
        </w:rPr>
        <w:t>%，较年初预算数增加0.39万元，增长2.70%，</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295.87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79.85</w:t>
      </w:r>
      <w:r>
        <w:rPr>
          <w:rFonts w:ascii="方正仿宋_GBK" w:hAnsi="方正仿宋_GBK" w:eastAsia="方正仿宋_GBK" w:cs="方正仿宋_GBK"/>
          <w:sz w:val="32"/>
          <w:szCs w:val="32"/>
          <w:shd w:val="clear" w:color="auto" w:fill="FFFFFF"/>
        </w:rPr>
        <w:t>%，较年初预算数增加86.93万元，增长41.61%，主要原因是</w:t>
      </w:r>
      <w:r>
        <w:rPr>
          <w:rFonts w:hint="eastAsia" w:ascii="方正仿宋_GBK" w:hAnsi="方正仿宋_GBK" w:eastAsia="方正仿宋_GBK" w:cs="方正仿宋_GBK"/>
          <w:sz w:val="32"/>
          <w:szCs w:val="32"/>
          <w:shd w:val="clear" w:color="auto" w:fill="FFFFFF"/>
          <w:lang w:val="en-US" w:eastAsia="zh-CN"/>
        </w:rPr>
        <w:t>人员增加。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住房保障支出14.40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%，较年初预算数增加0.50万元，增长3.60%，</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370.55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342.48</w:t>
      </w:r>
      <w:r>
        <w:rPr>
          <w:rFonts w:ascii="方正仿宋_GBK" w:hAnsi="方正仿宋_GBK" w:eastAsia="方正仿宋_GBK" w:cs="方正仿宋_GBK"/>
          <w:sz w:val="32"/>
          <w:szCs w:val="32"/>
          <w:shd w:val="clear" w:color="auto" w:fill="FFFFFF"/>
        </w:rPr>
        <w:t>万元，较上年决算数增加77.61万元，增长29.30%，</w:t>
      </w:r>
      <w:r>
        <w:rPr>
          <w:rFonts w:hint="eastAsia" w:ascii="方正仿宋_GBK" w:hAnsi="方正仿宋_GBK" w:eastAsia="方正仿宋_GBK" w:cs="方正仿宋_GBK"/>
          <w:sz w:val="32"/>
          <w:szCs w:val="32"/>
          <w:shd w:val="clear" w:color="auto" w:fill="FFFFFF"/>
        </w:rPr>
        <w:t>，主要原因是单位人员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，导致人员经费支出和公用经费支出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。人员经费用途主要包括基本工资、津贴补贴、绩效工资、奖金、社会保障缴费、目标绩效考核、平时考核等。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28.07</w:t>
      </w:r>
      <w:r>
        <w:rPr>
          <w:rFonts w:ascii="方正仿宋_GBK" w:hAnsi="方正仿宋_GBK" w:eastAsia="方正仿宋_GBK" w:cs="方正仿宋_GBK"/>
          <w:sz w:val="32"/>
          <w:szCs w:val="32"/>
          <w:shd w:val="clear" w:color="auto" w:fill="FFFFFF"/>
        </w:rPr>
        <w:t>万元，较上年决算数减少2.88万元，下降9.31%，</w:t>
      </w:r>
      <w:r>
        <w:rPr>
          <w:rFonts w:hint="eastAsia" w:ascii="方正仿宋_GBK" w:hAnsi="方正仿宋_GBK" w:eastAsia="方正仿宋_GBK" w:cs="方正仿宋_GBK"/>
          <w:sz w:val="32"/>
          <w:szCs w:val="32"/>
          <w:shd w:val="clear" w:color="auto" w:fill="FFFFFF"/>
        </w:rPr>
        <w:t>主要原因是人员</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，公用经费用途主要包括办公费、差旅费、水电费、邮电费、福利费、工会费等。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rPr>
        <w:t>主要原因是强化公务接待支出管理, 严格遵守公务接待开支范围和开支标准,严格控制陪餐人数,对应由接待对象承担的费用一律由接待对象自行支付。</w:t>
      </w:r>
      <w:r>
        <w:rPr>
          <w:rFonts w:ascii="方正仿宋_GBK" w:hAnsi="方正仿宋_GBK" w:eastAsia="方正仿宋_GBK" w:cs="方正仿宋_GBK"/>
          <w:sz w:val="32"/>
          <w:szCs w:val="32"/>
          <w:shd w:val="clear" w:color="auto" w:fill="FFFFFF"/>
        </w:rPr>
        <w:t>较上年支出数减少0.18万元，下降32.14%，</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0.38</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上级部门检查，</w:t>
      </w:r>
      <w:r>
        <w:rPr>
          <w:rFonts w:ascii="方正仿宋_GBK" w:hAnsi="方正仿宋_GBK" w:eastAsia="方正仿宋_GBK" w:cs="方正仿宋_GBK"/>
          <w:sz w:val="32"/>
          <w:szCs w:val="32"/>
          <w:shd w:val="clear" w:color="auto" w:fill="FFFFFF"/>
        </w:rPr>
        <w:t>费用支出较年初预算数无增减，较上年支出数减少0.18万元，下降32.14%，</w:t>
      </w:r>
      <w:r>
        <w:rPr>
          <w:rFonts w:hint="eastAsia" w:ascii="方正仿宋_GBK" w:hAnsi="方正仿宋_GBK" w:eastAsia="方正仿宋_GBK" w:cs="方正仿宋_GBK"/>
          <w:sz w:val="32"/>
          <w:szCs w:val="32"/>
          <w:shd w:val="clear" w:color="auto" w:fill="FFFFFF"/>
        </w:rPr>
        <w:t>主要原因是强化公务接待支出管理, 严格遵守公务接待开支范围和开支标准,严格控制陪餐人数,对应由接待对象承担的费用一律由接待对象自行支付。</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42.22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0.96</w:t>
      </w:r>
      <w:r>
        <w:rPr>
          <w:rFonts w:ascii="方正仿宋_GBK" w:hAnsi="方正仿宋_GBK" w:eastAsia="方正仿宋_GBK" w:cs="方正仿宋_GBK"/>
          <w:sz w:val="32"/>
          <w:szCs w:val="32"/>
          <w:shd w:val="clear" w:color="auto" w:fill="FFFFFF"/>
        </w:rPr>
        <w:t>万元，较上年决算数增加0.06万元，增长6.67%，</w:t>
      </w:r>
      <w:r>
        <w:rPr>
          <w:rFonts w:hint="eastAsia" w:ascii="方正仿宋_GBK" w:hAnsi="方正仿宋_GBK" w:eastAsia="方正仿宋_GBK" w:cs="方正仿宋_GBK"/>
          <w:sz w:val="32"/>
          <w:szCs w:val="32"/>
          <w:shd w:val="clear" w:color="auto" w:fill="FFFFFF"/>
        </w:rPr>
        <w:t>主要原因是培训人</w:t>
      </w:r>
      <w:r>
        <w:rPr>
          <w:rFonts w:hint="eastAsia" w:ascii="方正仿宋_GBK" w:hAnsi="方正仿宋_GBK" w:eastAsia="方正仿宋_GBK" w:cs="方正仿宋_GBK"/>
          <w:sz w:val="32"/>
          <w:szCs w:val="32"/>
          <w:shd w:val="clear" w:color="auto" w:fill="FFFFFF"/>
          <w:lang w:val="en-US" w:eastAsia="zh-CN"/>
        </w:rPr>
        <w:t>增加</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hint="eastAsia" w:ascii="楷体" w:hAnsi="楷体" w:eastAsia="楷体" w:cs="楷体"/>
          <w:b/>
          <w:bCs/>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shd w:val="clear" w:color="auto" w:fill="FFFFFF"/>
        </w:rPr>
        <w:t>202</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年按照部门决算列报口径，我单位不在机关运行经费统计范围之内。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320" w:firstLineChars="1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left="0" w:leftChars="0"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2023年本单位无重点项目实施</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shd w:val="clear" w:color="auto" w:fill="FFFFFF"/>
        </w:rPr>
        <w:t>54</w:t>
      </w:r>
      <w:bookmarkStart w:id="0" w:name="_GoBack"/>
      <w:bookmarkEnd w:id="0"/>
      <w:r>
        <w:rPr>
          <w:rFonts w:hint="eastAsia" w:ascii="方正仿宋_GBK" w:hAnsi="方正仿宋_GBK" w:eastAsia="方正仿宋_GBK" w:cs="方正仿宋_GBK"/>
          <w:sz w:val="32"/>
          <w:szCs w:val="32"/>
          <w:shd w:val="clear" w:color="auto" w:fill="FFFFFF"/>
        </w:rPr>
        <w:t>722022</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重庆市忠县黄金镇农业服务中心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44.51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370.55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重庆市忠县黄金镇农业服务中心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重庆市忠县黄金镇农业服务中心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44.51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295.87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295.87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44.51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370.55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370.55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44.51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295.87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295.87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65.68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342.48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0.96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49F7BE8A"/>
    <w:multiLevelType w:val="singleLevel"/>
    <w:tmpl w:val="49F7BE8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164C6F"/>
    <w:rsid w:val="01474EBF"/>
    <w:rsid w:val="015E4AD6"/>
    <w:rsid w:val="01F3521E"/>
    <w:rsid w:val="02E57C29"/>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C47439"/>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B37CD"/>
    <w:rsid w:val="163A6CEE"/>
    <w:rsid w:val="16FD4C60"/>
    <w:rsid w:val="173708E3"/>
    <w:rsid w:val="17C374FC"/>
    <w:rsid w:val="182E4AB6"/>
    <w:rsid w:val="189079DC"/>
    <w:rsid w:val="189B0D0B"/>
    <w:rsid w:val="18B43F7C"/>
    <w:rsid w:val="18E354F4"/>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06916"/>
    <w:rsid w:val="1EF67CA4"/>
    <w:rsid w:val="1F020D3A"/>
    <w:rsid w:val="1F2C5189"/>
    <w:rsid w:val="1F4B0B02"/>
    <w:rsid w:val="1FBB35CD"/>
    <w:rsid w:val="1FCD26AF"/>
    <w:rsid w:val="20642787"/>
    <w:rsid w:val="21556F04"/>
    <w:rsid w:val="223126AD"/>
    <w:rsid w:val="22403BD3"/>
    <w:rsid w:val="22C27C6F"/>
    <w:rsid w:val="24B92327"/>
    <w:rsid w:val="24C14514"/>
    <w:rsid w:val="2533755C"/>
    <w:rsid w:val="25791755"/>
    <w:rsid w:val="25B84A72"/>
    <w:rsid w:val="26396DF4"/>
    <w:rsid w:val="27167136"/>
    <w:rsid w:val="271B442C"/>
    <w:rsid w:val="27B23302"/>
    <w:rsid w:val="27BE3422"/>
    <w:rsid w:val="29310A5F"/>
    <w:rsid w:val="29C37A35"/>
    <w:rsid w:val="2A076083"/>
    <w:rsid w:val="2A1F17B8"/>
    <w:rsid w:val="2A2474D0"/>
    <w:rsid w:val="2A73162E"/>
    <w:rsid w:val="2B167953"/>
    <w:rsid w:val="2B200583"/>
    <w:rsid w:val="2B751478"/>
    <w:rsid w:val="2B8209DE"/>
    <w:rsid w:val="2C636760"/>
    <w:rsid w:val="2C6762A3"/>
    <w:rsid w:val="2DBF701B"/>
    <w:rsid w:val="2FCA4B37"/>
    <w:rsid w:val="2FCD3A43"/>
    <w:rsid w:val="2FE029D7"/>
    <w:rsid w:val="2FEA3D1F"/>
    <w:rsid w:val="2FF06E00"/>
    <w:rsid w:val="2FF07BEF"/>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6CD5EF3"/>
    <w:rsid w:val="37841E99"/>
    <w:rsid w:val="37BF1123"/>
    <w:rsid w:val="383C3F15"/>
    <w:rsid w:val="38833778"/>
    <w:rsid w:val="38B86F38"/>
    <w:rsid w:val="38BE4696"/>
    <w:rsid w:val="3939115E"/>
    <w:rsid w:val="39B82A39"/>
    <w:rsid w:val="39C42CA8"/>
    <w:rsid w:val="39DC4FD6"/>
    <w:rsid w:val="39F03D7A"/>
    <w:rsid w:val="39F33306"/>
    <w:rsid w:val="3A2C1C67"/>
    <w:rsid w:val="3ADD7F09"/>
    <w:rsid w:val="3B1705E5"/>
    <w:rsid w:val="3B18334B"/>
    <w:rsid w:val="3B36794F"/>
    <w:rsid w:val="3B6F31C4"/>
    <w:rsid w:val="3B6F6EE0"/>
    <w:rsid w:val="3C566AD6"/>
    <w:rsid w:val="3C594871"/>
    <w:rsid w:val="3C6A5B02"/>
    <w:rsid w:val="3CD662DF"/>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3DA3371"/>
    <w:rsid w:val="44C37687"/>
    <w:rsid w:val="45CB699A"/>
    <w:rsid w:val="465B470D"/>
    <w:rsid w:val="469D6AD4"/>
    <w:rsid w:val="471E6C84"/>
    <w:rsid w:val="4748792B"/>
    <w:rsid w:val="475D719D"/>
    <w:rsid w:val="47674801"/>
    <w:rsid w:val="48225EF7"/>
    <w:rsid w:val="488F422B"/>
    <w:rsid w:val="48E36915"/>
    <w:rsid w:val="48EB6572"/>
    <w:rsid w:val="493F4007"/>
    <w:rsid w:val="49504911"/>
    <w:rsid w:val="495C4A24"/>
    <w:rsid w:val="497135DF"/>
    <w:rsid w:val="49FA3AEE"/>
    <w:rsid w:val="4A263DF2"/>
    <w:rsid w:val="4A6F6675"/>
    <w:rsid w:val="4A75577B"/>
    <w:rsid w:val="4B135857"/>
    <w:rsid w:val="4B7951CB"/>
    <w:rsid w:val="4B7C315C"/>
    <w:rsid w:val="4DAC4ACA"/>
    <w:rsid w:val="4DBE01D2"/>
    <w:rsid w:val="4E2D3431"/>
    <w:rsid w:val="4ED932D2"/>
    <w:rsid w:val="4F0C6BA3"/>
    <w:rsid w:val="4F0D69A5"/>
    <w:rsid w:val="4F186D58"/>
    <w:rsid w:val="4F5039D0"/>
    <w:rsid w:val="50646F2B"/>
    <w:rsid w:val="50F06B6E"/>
    <w:rsid w:val="511D5E24"/>
    <w:rsid w:val="51D21804"/>
    <w:rsid w:val="52234D33"/>
    <w:rsid w:val="522F6E0C"/>
    <w:rsid w:val="52463BA1"/>
    <w:rsid w:val="52F163D4"/>
    <w:rsid w:val="531A2DB4"/>
    <w:rsid w:val="53C0244D"/>
    <w:rsid w:val="53DD4D4E"/>
    <w:rsid w:val="53E578CE"/>
    <w:rsid w:val="541330F0"/>
    <w:rsid w:val="54272666"/>
    <w:rsid w:val="543B029D"/>
    <w:rsid w:val="54861779"/>
    <w:rsid w:val="548F0A3D"/>
    <w:rsid w:val="552256E1"/>
    <w:rsid w:val="554E5773"/>
    <w:rsid w:val="555829E0"/>
    <w:rsid w:val="555A3CBC"/>
    <w:rsid w:val="5582012B"/>
    <w:rsid w:val="558E4E05"/>
    <w:rsid w:val="55BE2E85"/>
    <w:rsid w:val="56530F5D"/>
    <w:rsid w:val="567700D3"/>
    <w:rsid w:val="56FF7E9E"/>
    <w:rsid w:val="578867FC"/>
    <w:rsid w:val="5842572D"/>
    <w:rsid w:val="5A320424"/>
    <w:rsid w:val="5A3B59D6"/>
    <w:rsid w:val="5AD134D8"/>
    <w:rsid w:val="5C263CE4"/>
    <w:rsid w:val="5C5D2777"/>
    <w:rsid w:val="5CF66BF3"/>
    <w:rsid w:val="5D290C69"/>
    <w:rsid w:val="5ECB5FBD"/>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5E5C64"/>
    <w:rsid w:val="67924660"/>
    <w:rsid w:val="68407834"/>
    <w:rsid w:val="6883293E"/>
    <w:rsid w:val="688412AD"/>
    <w:rsid w:val="68EB1B71"/>
    <w:rsid w:val="6A6C7940"/>
    <w:rsid w:val="6AAD2300"/>
    <w:rsid w:val="6B0F2632"/>
    <w:rsid w:val="6B474EF5"/>
    <w:rsid w:val="6C0A5AC5"/>
    <w:rsid w:val="6C560CAE"/>
    <w:rsid w:val="6C576495"/>
    <w:rsid w:val="6D903FF5"/>
    <w:rsid w:val="6DA955B8"/>
    <w:rsid w:val="6DE346AB"/>
    <w:rsid w:val="6DE5391A"/>
    <w:rsid w:val="6EFD1324"/>
    <w:rsid w:val="6F5A53AC"/>
    <w:rsid w:val="6FAC003D"/>
    <w:rsid w:val="6FE55E12"/>
    <w:rsid w:val="6FFB2E76"/>
    <w:rsid w:val="708F6F7F"/>
    <w:rsid w:val="70AC5255"/>
    <w:rsid w:val="70D94BD3"/>
    <w:rsid w:val="71C34D91"/>
    <w:rsid w:val="72DB435C"/>
    <w:rsid w:val="72E2613A"/>
    <w:rsid w:val="72F771F4"/>
    <w:rsid w:val="73934AD2"/>
    <w:rsid w:val="74E30438"/>
    <w:rsid w:val="750837F0"/>
    <w:rsid w:val="750F3E1D"/>
    <w:rsid w:val="754758CF"/>
    <w:rsid w:val="764F62AB"/>
    <w:rsid w:val="765C45EC"/>
    <w:rsid w:val="768A7619"/>
    <w:rsid w:val="772E1EBA"/>
    <w:rsid w:val="77DF6247"/>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2</TotalTime>
  <ScaleCrop>false</ScaleCrop>
  <LinksUpToDate>false</LinksUpToDate>
  <CharactersWithSpaces>26759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2024-10-11T09:07:14Z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