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重庆市忠县任家镇文化服务中心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textAlignment w:val="auto"/>
        <w:rPr>
          <w:rStyle w:val="10"/>
          <w:rFonts w:hint="default" w:ascii="Times New Roman" w:hAnsi="Times New Roman" w:eastAsia="黑体" w:cs="Times New Roman"/>
          <w:b w:val="0"/>
          <w:bCs w:val="0"/>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textAlignment w:val="auto"/>
        <w:rPr>
          <w:rFonts w:hint="default" w:ascii="Times New Roman" w:hAnsi="Times New Roman" w:eastAsia="黑体" w:cs="Times New Roman"/>
          <w:b w:val="0"/>
          <w:bCs w:val="0"/>
          <w:sz w:val="32"/>
          <w:szCs w:val="32"/>
        </w:rPr>
      </w:pPr>
      <w:r>
        <w:rPr>
          <w:rStyle w:val="10"/>
          <w:rFonts w:hint="default" w:ascii="Times New Roman" w:hAnsi="Times New Roman" w:eastAsia="黑体" w:cs="Times New Roman"/>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1、传播文化、发展文化、繁荣文化、管理文化，引领先进文化方向。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2、运用一切艺术手段，对群众进行时政方针政策、思想道德教育和优良传统教育，促进精神文明建设。</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3、组织、协调、指导、开展所辖区的群众文体、娱乐活动。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4、组织并指导群众艺术创作，开展群众文化工作理论研究和对外民间文化交流。</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5、开展图书阅览，举办各类展览、讲座、培训等，普及科学文化知识，提高群众文化素质。编辑并推荐群众业余艺术创作作品和科普材料。</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6、开展流动文化服务;指导群众业余文体团队建设，辅导和培训群众文体骨干。</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7、负责配送和管理村、街道等公共文化资源;执导村、街道的群众文体工作。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8、负责当地的文化市场管理。包括演出团体、民间艺术、图书报刊、摄影音像、电影电视、网吧球室等文体活动的组织、开展、指导和管理。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9、收集、整理、保护、传承民间文化遗产。开展非物质文化遗产的普查、展示、宣传，指导传承人开展传习活动;做好地方文物的保护和宣传工作，代表国家进行当地的文物保护和管理。</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Fonts w:hint="default" w:ascii="Times New Roman" w:hAnsi="Times New Roman" w:eastAsia="楷体"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本单位无内设机构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黑体" w:cs="Times New Roman"/>
          <w:b w:val="0"/>
          <w:bCs w:val="0"/>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2023年度收入总计75.41万元，支出总计</w:t>
      </w:r>
      <w:r>
        <w:rPr>
          <w:rFonts w:hint="default" w:ascii="Times New Roman" w:hAnsi="Times New Roman" w:eastAsia="方正仿宋_GBK" w:cs="Times New Roman"/>
          <w:b w:val="0"/>
          <w:bCs w:val="0"/>
          <w:sz w:val="32"/>
          <w:szCs w:val="32"/>
        </w:rPr>
        <w:t>75.41</w:t>
      </w:r>
      <w:r>
        <w:rPr>
          <w:rFonts w:hint="default" w:ascii="Times New Roman" w:hAnsi="Times New Roman" w:eastAsia="方正仿宋_GBK" w:cs="Times New Roman"/>
          <w:b w:val="0"/>
          <w:bCs w:val="0"/>
          <w:sz w:val="32"/>
          <w:szCs w:val="32"/>
          <w:shd w:val="clear" w:color="auto" w:fill="FFFFFF"/>
        </w:rPr>
        <w:t>万元。收支较上年决算数增加23.83万元，增长46.20%，主要原因是</w:t>
      </w:r>
      <w:r>
        <w:rPr>
          <w:rFonts w:hint="default" w:ascii="Times New Roman" w:hAnsi="Times New Roman" w:eastAsia="方正仿宋_GBK" w:cs="Times New Roman"/>
          <w:b w:val="0"/>
          <w:bCs w:val="0"/>
          <w:sz w:val="32"/>
          <w:szCs w:val="32"/>
          <w:highlight w:val="none"/>
          <w:lang w:eastAsia="zh-CN"/>
        </w:rPr>
        <w:t>公用经费增加导致收支增加</w:t>
      </w:r>
      <w:r>
        <w:rPr>
          <w:rFonts w:hint="default" w:ascii="Times New Roman" w:hAnsi="Times New Roman" w:eastAsia="方正仿宋_GBK" w:cs="Times New Roman"/>
          <w:b w:val="0"/>
          <w:bCs w:val="0"/>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2023年度收入合计75.41万元，较上年决算数增加23.83万元，增长46.20%，主要原因是</w:t>
      </w:r>
      <w:r>
        <w:rPr>
          <w:rFonts w:hint="default" w:ascii="Times New Roman" w:hAnsi="Times New Roman" w:eastAsia="方正仿宋_GBK" w:cs="Times New Roman"/>
          <w:b w:val="0"/>
          <w:bCs w:val="0"/>
          <w:sz w:val="32"/>
          <w:szCs w:val="32"/>
          <w:highlight w:val="none"/>
          <w:lang w:eastAsia="zh-CN"/>
        </w:rPr>
        <w:t>公用经费增加导致收入增加</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其中：财政拨款收入</w:t>
      </w:r>
      <w:r>
        <w:rPr>
          <w:rFonts w:hint="default" w:ascii="Times New Roman" w:hAnsi="Times New Roman" w:eastAsia="方正仿宋_GBK" w:cs="Times New Roman"/>
          <w:b w:val="0"/>
          <w:bCs w:val="0"/>
          <w:sz w:val="32"/>
          <w:szCs w:val="32"/>
        </w:rPr>
        <w:t>75.41</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%；事业收入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万元，占0.00%；经营收入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万元，占0.00%；其他收入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2023年度支出合计</w:t>
      </w:r>
      <w:r>
        <w:rPr>
          <w:rFonts w:hint="default" w:ascii="Times New Roman" w:hAnsi="Times New Roman" w:eastAsia="方正仿宋_GBK" w:cs="Times New Roman"/>
          <w:b w:val="0"/>
          <w:bCs w:val="0"/>
          <w:sz w:val="32"/>
          <w:szCs w:val="32"/>
        </w:rPr>
        <w:t>75.41</w:t>
      </w:r>
      <w:r>
        <w:rPr>
          <w:rFonts w:hint="default" w:ascii="Times New Roman" w:hAnsi="Times New Roman" w:eastAsia="方正仿宋_GBK" w:cs="Times New Roman"/>
          <w:b w:val="0"/>
          <w:bCs w:val="0"/>
          <w:sz w:val="32"/>
          <w:szCs w:val="32"/>
          <w:shd w:val="clear" w:color="auto" w:fill="FFFFFF"/>
        </w:rPr>
        <w:t>万元，较上年决算数增加23.83万元，增长46.20%，主要原因是</w:t>
      </w:r>
      <w:r>
        <w:rPr>
          <w:rFonts w:hint="default" w:ascii="Times New Roman" w:hAnsi="Times New Roman" w:eastAsia="方正仿宋_GBK" w:cs="Times New Roman"/>
          <w:b w:val="0"/>
          <w:bCs w:val="0"/>
          <w:sz w:val="32"/>
          <w:szCs w:val="32"/>
          <w:highlight w:val="none"/>
          <w:lang w:eastAsia="zh-CN"/>
        </w:rPr>
        <w:t>公用经费增加导致收入增加</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其中：基本支出</w:t>
      </w:r>
      <w:r>
        <w:rPr>
          <w:rFonts w:hint="default" w:ascii="Times New Roman" w:hAnsi="Times New Roman" w:eastAsia="方正仿宋_GBK" w:cs="Times New Roman"/>
          <w:b w:val="0"/>
          <w:bCs w:val="0"/>
          <w:sz w:val="32"/>
          <w:szCs w:val="32"/>
        </w:rPr>
        <w:t>72.41</w:t>
      </w:r>
      <w:r>
        <w:rPr>
          <w:rFonts w:hint="default" w:ascii="Times New Roman" w:hAnsi="Times New Roman" w:eastAsia="方正仿宋_GBK" w:cs="Times New Roman"/>
          <w:b w:val="0"/>
          <w:bCs w:val="0"/>
          <w:sz w:val="32"/>
          <w:szCs w:val="32"/>
          <w:shd w:val="clear" w:color="auto" w:fill="FFFFFF"/>
        </w:rPr>
        <w:t>万元，占96.02%；项目支出</w:t>
      </w:r>
      <w:r>
        <w:rPr>
          <w:rFonts w:hint="default" w:ascii="Times New Roman" w:hAnsi="Times New Roman" w:eastAsia="方正仿宋_GBK" w:cs="Times New Roman"/>
          <w:b w:val="0"/>
          <w:bCs w:val="0"/>
          <w:sz w:val="32"/>
          <w:szCs w:val="32"/>
        </w:rPr>
        <w:t>3.00</w:t>
      </w:r>
      <w:r>
        <w:rPr>
          <w:rFonts w:hint="default" w:ascii="Times New Roman" w:hAnsi="Times New Roman" w:eastAsia="方正仿宋_GBK" w:cs="Times New Roman"/>
          <w:b w:val="0"/>
          <w:bCs w:val="0"/>
          <w:sz w:val="32"/>
          <w:szCs w:val="32"/>
          <w:shd w:val="clear" w:color="auto" w:fill="FFFFFF"/>
        </w:rPr>
        <w:t>万元，占3.98%；经营支出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lang w:eastAsia="zh-CN"/>
        </w:rPr>
        <w:t>本单位无结转结余</w:t>
      </w:r>
      <w:r>
        <w:rPr>
          <w:rFonts w:hint="default" w:ascii="Times New Roman" w:hAnsi="Times New Roman" w:eastAsia="方正仿宋_GBK" w:cs="Times New Roman"/>
          <w:b w:val="0"/>
          <w:bCs w:val="0"/>
          <w:sz w:val="32"/>
          <w:szCs w:val="32"/>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2023年度财政拨款收、支总计75.41万元。与2022年相比，财政拨款收、支总计各增加23.83万元，增长46.20%。主要原因是</w:t>
      </w:r>
      <w:r>
        <w:rPr>
          <w:rFonts w:hint="default" w:ascii="Times New Roman" w:hAnsi="Times New Roman" w:eastAsia="方正仿宋_GBK" w:cs="Times New Roman"/>
          <w:b w:val="0"/>
          <w:bCs w:val="0"/>
          <w:sz w:val="32"/>
          <w:szCs w:val="32"/>
          <w:highlight w:val="none"/>
          <w:lang w:eastAsia="zh-CN"/>
        </w:rPr>
        <w:t>公用经费增加导致收支增加。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2023年度一般公共预算财政拨款收入</w:t>
      </w:r>
      <w:r>
        <w:rPr>
          <w:rFonts w:hint="default" w:ascii="Times New Roman" w:hAnsi="Times New Roman" w:eastAsia="方正仿宋_GBK" w:cs="Times New Roman"/>
          <w:b w:val="0"/>
          <w:bCs w:val="0"/>
          <w:sz w:val="32"/>
          <w:szCs w:val="32"/>
        </w:rPr>
        <w:t>75.41</w:t>
      </w:r>
      <w:r>
        <w:rPr>
          <w:rFonts w:hint="default" w:ascii="Times New Roman" w:hAnsi="Times New Roman" w:eastAsia="方正仿宋_GBK" w:cs="Times New Roman"/>
          <w:b w:val="0"/>
          <w:bCs w:val="0"/>
          <w:sz w:val="32"/>
          <w:szCs w:val="32"/>
          <w:shd w:val="clear" w:color="auto" w:fill="FFFFFF"/>
        </w:rPr>
        <w:t>万元，较上年决算数增加23.83万元，增长46.20%。主要原因是</w:t>
      </w:r>
      <w:r>
        <w:rPr>
          <w:rFonts w:hint="default" w:ascii="Times New Roman" w:hAnsi="Times New Roman" w:eastAsia="方正仿宋_GBK" w:cs="Times New Roman"/>
          <w:b w:val="0"/>
          <w:bCs w:val="0"/>
          <w:sz w:val="32"/>
          <w:szCs w:val="32"/>
          <w:highlight w:val="none"/>
          <w:lang w:eastAsia="zh-CN"/>
        </w:rPr>
        <w:t>公用经费增加导致收支增加。</w:t>
      </w:r>
      <w:r>
        <w:rPr>
          <w:rFonts w:hint="default" w:ascii="Times New Roman" w:hAnsi="Times New Roman" w:eastAsia="方正仿宋_GBK" w:cs="Times New Roman"/>
          <w:b w:val="0"/>
          <w:bCs w:val="0"/>
          <w:sz w:val="32"/>
          <w:szCs w:val="32"/>
          <w:shd w:val="clear" w:color="auto" w:fill="FFFFFF"/>
        </w:rPr>
        <w:t>较年初预算数增加12.09万元，增长19.09%。主要原因是</w:t>
      </w:r>
      <w:r>
        <w:rPr>
          <w:rFonts w:hint="default" w:ascii="Times New Roman" w:hAnsi="Times New Roman" w:eastAsia="方正仿宋_GBK" w:cs="Times New Roman"/>
          <w:b w:val="0"/>
          <w:bCs w:val="0"/>
          <w:color w:val="auto"/>
          <w:sz w:val="32"/>
          <w:szCs w:val="32"/>
          <w:highlight w:val="none"/>
          <w:lang w:eastAsia="zh-CN"/>
        </w:rPr>
        <w:t>人员经费调标导致收入较预算有所增加。</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highlight w:val="yellow"/>
          <w:lang w:eastAsia="zh-CN"/>
        </w:rPr>
      </w:pPr>
      <w:r>
        <w:rPr>
          <w:rStyle w:val="10"/>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2023年度一般公共预算财政拨款支出</w:t>
      </w:r>
      <w:r>
        <w:rPr>
          <w:rFonts w:hint="default" w:ascii="Times New Roman" w:hAnsi="Times New Roman" w:eastAsia="方正仿宋_GBK" w:cs="Times New Roman"/>
          <w:b w:val="0"/>
          <w:bCs w:val="0"/>
          <w:sz w:val="32"/>
          <w:szCs w:val="32"/>
        </w:rPr>
        <w:t>75.41</w:t>
      </w:r>
      <w:r>
        <w:rPr>
          <w:rFonts w:hint="default" w:ascii="Times New Roman" w:hAnsi="Times New Roman" w:eastAsia="方正仿宋_GBK" w:cs="Times New Roman"/>
          <w:b w:val="0"/>
          <w:bCs w:val="0"/>
          <w:sz w:val="32"/>
          <w:szCs w:val="32"/>
          <w:shd w:val="clear" w:color="auto" w:fill="FFFFFF"/>
        </w:rPr>
        <w:t>万元，较上年决算数增加23.83万元，增长46.20%。主要原因是</w:t>
      </w:r>
      <w:r>
        <w:rPr>
          <w:rFonts w:hint="default" w:ascii="Times New Roman" w:hAnsi="Times New Roman" w:eastAsia="方正仿宋_GBK" w:cs="Times New Roman"/>
          <w:b w:val="0"/>
          <w:bCs w:val="0"/>
          <w:sz w:val="32"/>
          <w:szCs w:val="32"/>
          <w:lang w:eastAsia="zh-CN"/>
        </w:rPr>
        <w:t>公用经费增加导致支出增加。</w:t>
      </w:r>
      <w:r>
        <w:rPr>
          <w:rFonts w:hint="default" w:ascii="Times New Roman" w:hAnsi="Times New Roman" w:eastAsia="方正仿宋_GBK" w:cs="Times New Roman"/>
          <w:b w:val="0"/>
          <w:bCs w:val="0"/>
          <w:sz w:val="32"/>
          <w:szCs w:val="32"/>
          <w:shd w:val="clear" w:color="auto" w:fill="FFFFFF"/>
        </w:rPr>
        <w:t>较年初预算数增加12.09万元，增长19.09%。主要原因是</w:t>
      </w:r>
      <w:r>
        <w:rPr>
          <w:rFonts w:hint="default" w:ascii="Times New Roman" w:hAnsi="Times New Roman" w:eastAsia="方正仿宋_GBK" w:cs="Times New Roman"/>
          <w:b w:val="0"/>
          <w:bCs w:val="0"/>
          <w:color w:val="auto"/>
          <w:sz w:val="32"/>
          <w:szCs w:val="32"/>
          <w:highlight w:val="none"/>
          <w:lang w:eastAsia="zh-CN"/>
        </w:rPr>
        <w:t>人员经费调标导致支出较预算有所增加。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lang w:eastAsia="zh-CN"/>
        </w:rPr>
        <w:t>本单位无结转结余</w:t>
      </w:r>
      <w:r>
        <w:rPr>
          <w:rFonts w:hint="default" w:ascii="Times New Roman" w:hAnsi="Times New Roman" w:eastAsia="方正仿宋_GBK" w:cs="Times New Roman"/>
          <w:b w:val="0"/>
          <w:bCs w:val="0"/>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cyan"/>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4.比较情况。</w:t>
      </w:r>
      <w:r>
        <w:rPr>
          <w:rFonts w:hint="default" w:ascii="Times New Roman" w:hAnsi="Times New Roman" w:eastAsia="方正仿宋_GBK" w:cs="Times New Roman"/>
          <w:b w:val="0"/>
          <w:bCs w:val="0"/>
          <w:sz w:val="32"/>
          <w:szCs w:val="32"/>
          <w:shd w:val="clear" w:color="auto" w:fill="FFFFFF"/>
        </w:rPr>
        <w:t>本单位2023年度一般公共预算财政拨款支出主要用于以下几个方面：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）教育支出</w:t>
      </w:r>
      <w:r>
        <w:rPr>
          <w:rFonts w:hint="default" w:ascii="Times New Roman" w:hAnsi="Times New Roman" w:eastAsia="方正仿宋_GBK" w:cs="Times New Roman"/>
          <w:b w:val="0"/>
          <w:bCs w:val="0"/>
          <w:sz w:val="32"/>
          <w:szCs w:val="32"/>
        </w:rPr>
        <w:t>0.20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0.27</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b w:val="0"/>
          <w:bCs w:val="0"/>
          <w:color w:val="auto"/>
          <w:sz w:val="32"/>
          <w:szCs w:val="32"/>
          <w:highlight w:val="none"/>
        </w:rPr>
        <w:t>培训费</w:t>
      </w:r>
      <w:r>
        <w:rPr>
          <w:rFonts w:hint="eastAsia" w:ascii="Times New Roman" w:hAnsi="Times New Roman" w:eastAsia="方正仿宋_GBK" w:cs="Times New Roman"/>
          <w:b w:val="0"/>
          <w:bCs w:val="0"/>
          <w:color w:val="auto"/>
          <w:sz w:val="32"/>
          <w:szCs w:val="32"/>
          <w:highlight w:val="none"/>
          <w:lang w:val="en-US" w:eastAsia="zh-CN"/>
        </w:rPr>
        <w:t>无增减</w:t>
      </w:r>
      <w:r>
        <w:rPr>
          <w:rFonts w:hint="default" w:ascii="Times New Roman" w:hAnsi="Times New Roman" w:eastAsia="方正仿宋_GBK" w:cs="Times New Roman"/>
          <w:b w:val="0"/>
          <w:bCs w:val="0"/>
          <w:color w:val="auto"/>
          <w:sz w:val="32"/>
          <w:szCs w:val="32"/>
          <w:highlight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highlight w:val="yellow"/>
          <w:lang w:eastAsia="zh-CN"/>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）文化旅游体育与传媒支出</w:t>
      </w:r>
      <w:r>
        <w:rPr>
          <w:rFonts w:hint="default" w:ascii="Times New Roman" w:hAnsi="Times New Roman" w:eastAsia="方正仿宋_GBK" w:cs="Times New Roman"/>
          <w:b w:val="0"/>
          <w:bCs w:val="0"/>
          <w:sz w:val="32"/>
          <w:szCs w:val="32"/>
        </w:rPr>
        <w:t>60.39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80.08</w:t>
      </w:r>
      <w:r>
        <w:rPr>
          <w:rFonts w:hint="default" w:ascii="Times New Roman" w:hAnsi="Times New Roman" w:eastAsia="方正仿宋_GBK" w:cs="Times New Roman"/>
          <w:b w:val="0"/>
          <w:bCs w:val="0"/>
          <w:sz w:val="32"/>
          <w:szCs w:val="32"/>
          <w:shd w:val="clear" w:color="auto" w:fill="FFFFFF"/>
        </w:rPr>
        <w:t>%，较年初预算数增加11.58万元，增长23.72%，主要原因是</w:t>
      </w:r>
      <w:r>
        <w:rPr>
          <w:rFonts w:hint="default" w:ascii="Times New Roman" w:hAnsi="Times New Roman" w:eastAsia="方正仿宋_GBK" w:cs="Times New Roman"/>
          <w:b w:val="0"/>
          <w:bCs w:val="0"/>
          <w:color w:val="auto"/>
          <w:sz w:val="32"/>
          <w:szCs w:val="32"/>
          <w:highlight w:val="none"/>
          <w:lang w:eastAsia="zh-CN"/>
        </w:rPr>
        <w:t>人员经费调标导致</w:t>
      </w:r>
      <w:r>
        <w:rPr>
          <w:rFonts w:hint="default" w:ascii="Times New Roman" w:hAnsi="Times New Roman" w:eastAsia="方正仿宋_GBK" w:cs="Times New Roman"/>
          <w:b w:val="0"/>
          <w:bCs w:val="0"/>
          <w:color w:val="auto"/>
          <w:sz w:val="32"/>
          <w:szCs w:val="32"/>
          <w:highlight w:val="none"/>
        </w:rPr>
        <w:t>文化旅游体育与传媒支出</w:t>
      </w:r>
      <w:r>
        <w:rPr>
          <w:rFonts w:hint="default" w:ascii="Times New Roman" w:hAnsi="Times New Roman" w:eastAsia="方正仿宋_GBK" w:cs="Times New Roman"/>
          <w:b w:val="0"/>
          <w:bCs w:val="0"/>
          <w:color w:val="auto"/>
          <w:sz w:val="32"/>
          <w:szCs w:val="32"/>
          <w:highlight w:val="none"/>
          <w:lang w:eastAsia="zh-CN"/>
        </w:rPr>
        <w:t>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highlight w:val="yellow"/>
          <w:lang w:eastAsia="zh-CN"/>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）社会保障与就业支出</w:t>
      </w:r>
      <w:r>
        <w:rPr>
          <w:rFonts w:hint="default" w:ascii="Times New Roman" w:hAnsi="Times New Roman" w:eastAsia="方正仿宋_GBK" w:cs="Times New Roman"/>
          <w:b w:val="0"/>
          <w:bCs w:val="0"/>
          <w:sz w:val="32"/>
          <w:szCs w:val="32"/>
        </w:rPr>
        <w:t>8.54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11.32</w:t>
      </w:r>
      <w:r>
        <w:rPr>
          <w:rFonts w:hint="default" w:ascii="Times New Roman" w:hAnsi="Times New Roman" w:eastAsia="方正仿宋_GBK" w:cs="Times New Roman"/>
          <w:b w:val="0"/>
          <w:bCs w:val="0"/>
          <w:sz w:val="32"/>
          <w:szCs w:val="32"/>
          <w:shd w:val="clear" w:color="auto" w:fill="FFFFFF"/>
        </w:rPr>
        <w:t>%，较年初预算数增加0.39万元，增长4.79%，主要原因是</w:t>
      </w:r>
      <w:r>
        <w:rPr>
          <w:rFonts w:hint="default" w:ascii="Times New Roman" w:hAnsi="Times New Roman" w:eastAsia="方正仿宋_GBK" w:cs="Times New Roman"/>
          <w:b w:val="0"/>
          <w:bCs w:val="0"/>
          <w:color w:val="auto"/>
          <w:sz w:val="32"/>
          <w:szCs w:val="32"/>
          <w:highlight w:val="none"/>
          <w:lang w:eastAsia="zh-CN"/>
        </w:rPr>
        <w:t>人员经费调标导致</w:t>
      </w:r>
      <w:r>
        <w:rPr>
          <w:rFonts w:hint="default" w:ascii="Times New Roman" w:hAnsi="Times New Roman" w:eastAsia="方正仿宋_GBK" w:cs="Times New Roman"/>
          <w:b w:val="0"/>
          <w:bCs w:val="0"/>
          <w:color w:val="auto"/>
          <w:sz w:val="32"/>
          <w:szCs w:val="32"/>
          <w:highlight w:val="none"/>
        </w:rPr>
        <w:t>社会保障与就业支出</w:t>
      </w:r>
      <w:r>
        <w:rPr>
          <w:rFonts w:hint="default" w:ascii="Times New Roman" w:hAnsi="Times New Roman" w:eastAsia="方正仿宋_GBK" w:cs="Times New Roman"/>
          <w:b w:val="0"/>
          <w:bCs w:val="0"/>
          <w:color w:val="auto"/>
          <w:sz w:val="32"/>
          <w:szCs w:val="32"/>
          <w:highlight w:val="none"/>
          <w:lang w:eastAsia="zh-CN"/>
        </w:rPr>
        <w:t>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rPr>
        <w:t>3.19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4.23</w:t>
      </w:r>
      <w:r>
        <w:rPr>
          <w:rFonts w:hint="default" w:ascii="Times New Roman" w:hAnsi="Times New Roman" w:eastAsia="方正仿宋_GBK" w:cs="Times New Roman"/>
          <w:b w:val="0"/>
          <w:bCs w:val="0"/>
          <w:sz w:val="32"/>
          <w:szCs w:val="32"/>
          <w:shd w:val="clear" w:color="auto" w:fill="FFFFFF"/>
        </w:rPr>
        <w:t>%，较年初预算数增加0.12万元，增长3.91%，主要原因是</w:t>
      </w:r>
      <w:r>
        <w:rPr>
          <w:rFonts w:hint="default" w:ascii="Times New Roman" w:hAnsi="Times New Roman" w:eastAsia="方正仿宋_GBK" w:cs="Times New Roman"/>
          <w:b w:val="0"/>
          <w:bCs w:val="0"/>
          <w:color w:val="auto"/>
          <w:sz w:val="32"/>
          <w:szCs w:val="32"/>
          <w:highlight w:val="none"/>
          <w:lang w:eastAsia="zh-CN"/>
        </w:rPr>
        <w:t>医疗保险支出</w:t>
      </w:r>
      <w:r>
        <w:rPr>
          <w:rFonts w:hint="eastAsia" w:ascii="Times New Roman" w:hAnsi="Times New Roman" w:eastAsia="方正仿宋_GBK" w:cs="Times New Roman"/>
          <w:b w:val="0"/>
          <w:bCs w:val="0"/>
          <w:color w:val="auto"/>
          <w:sz w:val="32"/>
          <w:szCs w:val="32"/>
          <w:highlight w:val="none"/>
          <w:lang w:val="en-US" w:eastAsia="zh-CN"/>
        </w:rPr>
        <w:t>增加</w:t>
      </w:r>
      <w:r>
        <w:rPr>
          <w:rFonts w:hint="default" w:ascii="Times New Roman" w:hAnsi="Times New Roman" w:eastAsia="方正仿宋_GBK" w:cs="Times New Roman"/>
          <w:b w:val="0"/>
          <w:bCs w:val="0"/>
          <w:color w:val="auto"/>
          <w:sz w:val="32"/>
          <w:szCs w:val="32"/>
          <w:highlight w:val="none"/>
          <w:lang w:eastAsia="zh-CN"/>
        </w:rPr>
        <w:t>导致</w:t>
      </w:r>
      <w:r>
        <w:rPr>
          <w:rFonts w:hint="default" w:ascii="Times New Roman" w:hAnsi="Times New Roman" w:eastAsia="方正仿宋_GBK" w:cs="Times New Roman"/>
          <w:b w:val="0"/>
          <w:bCs w:val="0"/>
          <w:color w:val="auto"/>
          <w:sz w:val="32"/>
          <w:szCs w:val="32"/>
          <w:highlight w:val="none"/>
        </w:rPr>
        <w:t>卫生健康支出</w:t>
      </w:r>
      <w:r>
        <w:rPr>
          <w:rFonts w:hint="eastAsia" w:ascii="Times New Roman" w:hAnsi="Times New Roman" w:eastAsia="方正仿宋_GBK" w:cs="Times New Roman"/>
          <w:b w:val="0"/>
          <w:bCs w:val="0"/>
          <w:color w:val="auto"/>
          <w:sz w:val="32"/>
          <w:szCs w:val="32"/>
          <w:highlight w:val="none"/>
          <w:lang w:val="en-US" w:eastAsia="zh-CN"/>
        </w:rPr>
        <w:t>增加</w:t>
      </w:r>
      <w:r>
        <w:rPr>
          <w:rFonts w:hint="default" w:ascii="Times New Roman" w:hAnsi="Times New Roman" w:eastAsia="方正仿宋_GBK" w:cs="Times New Roman"/>
          <w:b w:val="0"/>
          <w:bCs w:val="0"/>
          <w:color w:val="auto"/>
          <w:sz w:val="32"/>
          <w:szCs w:val="32"/>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5</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住房保障支出3.09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4.10</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b w:val="0"/>
          <w:bCs w:val="0"/>
          <w:color w:val="auto"/>
          <w:sz w:val="32"/>
          <w:szCs w:val="32"/>
          <w:highlight w:val="none"/>
        </w:rPr>
        <w:t>住房公积金缴费</w:t>
      </w:r>
      <w:r>
        <w:rPr>
          <w:rFonts w:hint="eastAsia" w:ascii="Times New Roman" w:hAnsi="Times New Roman" w:eastAsia="方正仿宋_GBK" w:cs="Times New Roman"/>
          <w:b w:val="0"/>
          <w:bCs w:val="0"/>
          <w:color w:val="auto"/>
          <w:sz w:val="32"/>
          <w:szCs w:val="32"/>
          <w:highlight w:val="none"/>
          <w:lang w:val="en-US" w:eastAsia="zh-CN"/>
        </w:rPr>
        <w:t>支出增加导致住房保障支出增加</w:t>
      </w:r>
      <w:r>
        <w:rPr>
          <w:rFonts w:hint="default" w:ascii="Times New Roman" w:hAnsi="Times New Roman" w:eastAsia="方正仿宋_GBK" w:cs="Times New Roman"/>
          <w:b w:val="0"/>
          <w:bCs w:val="0"/>
          <w:color w:val="auto"/>
          <w:sz w:val="32"/>
          <w:szCs w:val="32"/>
          <w:highlight w:val="none"/>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2023年度一般公共财政拨款基本支出</w:t>
      </w:r>
      <w:r>
        <w:rPr>
          <w:rFonts w:hint="default" w:ascii="Times New Roman" w:hAnsi="Times New Roman" w:eastAsia="方正仿宋_GBK" w:cs="Times New Roman"/>
          <w:b w:val="0"/>
          <w:bCs w:val="0"/>
          <w:sz w:val="32"/>
          <w:szCs w:val="32"/>
        </w:rPr>
        <w:t>72.41</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65.99</w:t>
      </w:r>
      <w:r>
        <w:rPr>
          <w:rFonts w:hint="default" w:ascii="Times New Roman" w:hAnsi="Times New Roman" w:eastAsia="方正仿宋_GBK" w:cs="Times New Roman"/>
          <w:b w:val="0"/>
          <w:bCs w:val="0"/>
          <w:sz w:val="32"/>
          <w:szCs w:val="32"/>
          <w:shd w:val="clear" w:color="auto" w:fill="FFFFFF"/>
        </w:rPr>
        <w:t>万元，较上年决算数增加20.33万元，增长44.52%，主要原因是</w:t>
      </w:r>
      <w:r>
        <w:rPr>
          <w:rFonts w:hint="default" w:ascii="Times New Roman" w:hAnsi="Times New Roman" w:eastAsia="方正仿宋_GBK" w:cs="Times New Roman"/>
          <w:b w:val="0"/>
          <w:bCs w:val="0"/>
          <w:sz w:val="32"/>
          <w:szCs w:val="32"/>
          <w:highlight w:val="none"/>
        </w:rPr>
        <w:t>人员经费</w:t>
      </w:r>
      <w:r>
        <w:rPr>
          <w:rFonts w:hint="default" w:ascii="Times New Roman" w:hAnsi="Times New Roman" w:eastAsia="方正仿宋_GBK" w:cs="Times New Roman"/>
          <w:b w:val="0"/>
          <w:bCs w:val="0"/>
          <w:sz w:val="32"/>
          <w:szCs w:val="32"/>
          <w:highlight w:val="none"/>
          <w:lang w:eastAsia="zh-CN"/>
        </w:rPr>
        <w:t>调标导致人员经费增加</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shd w:val="clear" w:color="auto" w:fill="FFFFFF"/>
        </w:rPr>
        <w:t>人员经费用途主要包括</w:t>
      </w:r>
      <w:r>
        <w:rPr>
          <w:rFonts w:hint="default" w:ascii="Times New Roman" w:hAnsi="Times New Roman" w:eastAsia="方正仿宋_GBK" w:cs="Times New Roman"/>
          <w:b w:val="0"/>
          <w:bCs w:val="0"/>
          <w:sz w:val="32"/>
          <w:szCs w:val="32"/>
        </w:rPr>
        <w:t>基本工资、绩效工资、津贴补贴、社会保障缴费等。</w:t>
      </w:r>
      <w:r>
        <w:rPr>
          <w:rFonts w:hint="default" w:ascii="Times New Roman" w:hAnsi="Times New Roman" w:eastAsia="方正仿宋_GBK" w:cs="Times New Roman"/>
          <w:b w:val="0"/>
          <w:bCs w:val="0"/>
          <w:sz w:val="32"/>
          <w:szCs w:val="32"/>
          <w:shd w:val="clear" w:color="auto" w:fill="FFFFFF"/>
        </w:rPr>
        <w:t>公用经费</w:t>
      </w:r>
      <w:r>
        <w:rPr>
          <w:rFonts w:hint="default" w:ascii="Times New Roman" w:hAnsi="Times New Roman" w:eastAsia="方正仿宋_GBK" w:cs="Times New Roman"/>
          <w:b w:val="0"/>
          <w:bCs w:val="0"/>
          <w:sz w:val="32"/>
          <w:szCs w:val="32"/>
        </w:rPr>
        <w:t>6.42</w:t>
      </w:r>
      <w:r>
        <w:rPr>
          <w:rFonts w:hint="default" w:ascii="Times New Roman" w:hAnsi="Times New Roman" w:eastAsia="方正仿宋_GBK" w:cs="Times New Roman"/>
          <w:b w:val="0"/>
          <w:bCs w:val="0"/>
          <w:sz w:val="32"/>
          <w:szCs w:val="32"/>
          <w:shd w:val="clear" w:color="auto" w:fill="FFFFFF"/>
        </w:rPr>
        <w:t>万元，较上年决算数增加0.50万元，增长8.45%，主要原因是</w:t>
      </w:r>
      <w:r>
        <w:rPr>
          <w:rFonts w:hint="default" w:ascii="Times New Roman" w:hAnsi="Times New Roman" w:eastAsia="方正仿宋_GBK" w:cs="Times New Roman"/>
          <w:b w:val="0"/>
          <w:bCs w:val="0"/>
          <w:color w:val="auto"/>
          <w:sz w:val="32"/>
          <w:szCs w:val="32"/>
          <w:highlight w:val="none"/>
          <w:lang w:eastAsia="zh-CN"/>
        </w:rPr>
        <w:t>办公开增加导致公用经费增加</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sz w:val="32"/>
          <w:szCs w:val="32"/>
        </w:rPr>
        <w:t>办公费、印刷费、邮电费、水电费、劳务费等。</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2023年度“三公”经费支出共计</w:t>
      </w:r>
      <w:r>
        <w:rPr>
          <w:rFonts w:hint="default" w:ascii="Times New Roman" w:hAnsi="Times New Roman" w:eastAsia="方正仿宋_GBK" w:cs="Times New Roman"/>
          <w:b w:val="0"/>
          <w:bCs w:val="0"/>
          <w:sz w:val="32"/>
          <w:szCs w:val="32"/>
        </w:rPr>
        <w:t>0.10</w:t>
      </w:r>
      <w:r>
        <w:rPr>
          <w:rFonts w:hint="default" w:ascii="Times New Roman" w:hAnsi="Times New Roman" w:eastAsia="方正仿宋_GBK" w:cs="Times New Roman"/>
          <w:b w:val="0"/>
          <w:bCs w:val="0"/>
          <w:sz w:val="32"/>
          <w:szCs w:val="32"/>
          <w:shd w:val="clear" w:color="auto" w:fill="FFFFFF"/>
        </w:rPr>
        <w:t>万元，较年初预算数无增减，主要原因是</w:t>
      </w:r>
      <w:r>
        <w:rPr>
          <w:rFonts w:hint="default" w:ascii="Times New Roman" w:hAnsi="Times New Roman" w:eastAsia="方正仿宋_GBK" w:cs="Times New Roman"/>
          <w:b w:val="0"/>
          <w:bCs w:val="0"/>
          <w:sz w:val="32"/>
          <w:szCs w:val="32"/>
        </w:rPr>
        <w:t>认真贯彻落实中央各项规定，减少三公经费。</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rPr>
        <w:t>认真贯彻落实中央各项规定，减少三公经费。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（二）“三公”经费分项支出情况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rPr>
        <w:t>主要原因</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因公出国（境）费用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因公出国（境）费用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因公出国（境）费用</w:t>
      </w:r>
      <w:r>
        <w:rPr>
          <w:rFonts w:hint="default" w:ascii="Times New Roman" w:hAnsi="Times New Roman" w:eastAsia="方正仿宋_GBK" w:cs="Times New Roman"/>
          <w:b w:val="0"/>
          <w:bCs w:val="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w:t>
      </w:r>
      <w:r>
        <w:rPr>
          <w:rFonts w:hint="default" w:ascii="Times New Roman" w:hAnsi="Times New Roman" w:eastAsia="方正仿宋_GBK" w:cs="Times New Roman"/>
          <w:b w:val="0"/>
          <w:bCs w:val="0"/>
          <w:sz w:val="32"/>
          <w:szCs w:val="32"/>
        </w:rPr>
        <w:t>原因</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公务车购置费用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公务车购置费用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公务车购置费用</w:t>
      </w:r>
      <w:r>
        <w:rPr>
          <w:rFonts w:hint="default" w:ascii="Times New Roman" w:hAnsi="Times New Roman" w:eastAsia="方正仿宋_GBK" w:cs="Times New Roman"/>
          <w:b w:val="0"/>
          <w:bCs w:val="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公务车运行维护费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w:t>
      </w:r>
      <w:r>
        <w:rPr>
          <w:rFonts w:hint="default" w:ascii="Times New Roman" w:hAnsi="Times New Roman" w:eastAsia="方正仿宋_GBK" w:cs="Times New Roman"/>
          <w:b w:val="0"/>
          <w:bCs w:val="0"/>
          <w:sz w:val="32"/>
          <w:szCs w:val="32"/>
        </w:rPr>
        <w:t>原因</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无公务用车</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hint="eastAsia" w:ascii="Times New Roman" w:hAnsi="Times New Roman" w:eastAsia="方正仿宋_GBK" w:cs="Times New Roman"/>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公务接待费</w:t>
      </w:r>
      <w:r>
        <w:rPr>
          <w:rFonts w:hint="default" w:ascii="Times New Roman" w:hAnsi="Times New Roman" w:eastAsia="方正仿宋_GBK" w:cs="Times New Roman"/>
          <w:b w:val="0"/>
          <w:bCs w:val="0"/>
          <w:sz w:val="32"/>
          <w:szCs w:val="32"/>
        </w:rPr>
        <w:t>0.10</w:t>
      </w:r>
      <w:r>
        <w:rPr>
          <w:rFonts w:hint="default" w:ascii="Times New Roman" w:hAnsi="Times New Roman" w:eastAsia="方正仿宋_GBK" w:cs="Times New Roman"/>
          <w:b w:val="0"/>
          <w:bCs w:val="0"/>
          <w:sz w:val="32"/>
          <w:szCs w:val="32"/>
          <w:shd w:val="clear" w:color="auto" w:fill="FFFFFF"/>
        </w:rPr>
        <w:t>万元，主要用于接待</w:t>
      </w:r>
      <w:r>
        <w:rPr>
          <w:rFonts w:hint="default" w:ascii="Times New Roman" w:hAnsi="Times New Roman" w:eastAsia="方正仿宋_GBK" w:cs="Times New Roman"/>
          <w:b w:val="0"/>
          <w:bCs w:val="0"/>
          <w:sz w:val="32"/>
          <w:szCs w:val="32"/>
        </w:rPr>
        <w:t>接待接受县级相关部门检查指导工作发生的接待支出。</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强化公务接待支出管理，严格遵守公务接待开支范围和开支标准，严格控制陪餐人数，对应由接待对象承担的 费用一律由接待对象自行支付。</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强化公务接待支出管理，严格遵守公务接待开支范围和开支标准，严格控制陪餐人数，对应由接待对象承担的 费用一律由接待对象自行支付。</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2023年度本单位因公出国（境）共计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7</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27</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人。2023年本单位人均接待费</w:t>
      </w:r>
      <w:r>
        <w:rPr>
          <w:rFonts w:hint="default" w:ascii="Times New Roman" w:hAnsi="Times New Roman" w:eastAsia="方正仿宋_GBK" w:cs="Times New Roman"/>
          <w:b w:val="0"/>
          <w:bCs w:val="0"/>
          <w:sz w:val="32"/>
          <w:szCs w:val="32"/>
        </w:rPr>
        <w:t>35.56</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本年度会议费支出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本单位为事业单位</w:t>
      </w:r>
      <w:r>
        <w:rPr>
          <w:rFonts w:hint="default" w:ascii="Times New Roman" w:hAnsi="Times New Roman" w:eastAsia="方正仿宋_GBK" w:cs="Times New Roman"/>
          <w:sz w:val="32"/>
          <w:szCs w:val="32"/>
        </w:rPr>
        <w:t>，财政未保障我单位会议费</w:t>
      </w:r>
      <w:r>
        <w:rPr>
          <w:rFonts w:hint="default" w:ascii="Times New Roman" w:hAnsi="Times New Roman" w:eastAsia="方正仿宋_GBK" w:cs="Times New Roman"/>
          <w:b w:val="0"/>
          <w:bCs w:val="0"/>
          <w:sz w:val="32"/>
          <w:szCs w:val="32"/>
          <w:shd w:val="clear" w:color="auto" w:fill="FFFFFF"/>
        </w:rPr>
        <w:t>。本年度培训费支出</w:t>
      </w:r>
      <w:r>
        <w:rPr>
          <w:rFonts w:hint="default" w:ascii="Times New Roman" w:hAnsi="Times New Roman" w:eastAsia="方正仿宋_GBK" w:cs="Times New Roman"/>
          <w:b w:val="0"/>
          <w:bCs w:val="0"/>
          <w:sz w:val="32"/>
          <w:szCs w:val="32"/>
        </w:rPr>
        <w:t>0.20</w:t>
      </w:r>
      <w:r>
        <w:rPr>
          <w:rFonts w:hint="default" w:ascii="Times New Roman" w:hAnsi="Times New Roman" w:eastAsia="方正仿宋_GBK" w:cs="Times New Roman"/>
          <w:b w:val="0"/>
          <w:bCs w:val="0"/>
          <w:sz w:val="32"/>
          <w:szCs w:val="32"/>
          <w:shd w:val="clear" w:color="auto" w:fill="FFFFFF"/>
        </w:rPr>
        <w:t>万元，较上年决算数增加0.04万元，增长25.00%，主要原因是</w:t>
      </w:r>
      <w:r>
        <w:rPr>
          <w:rFonts w:hint="default" w:ascii="Times New Roman" w:hAnsi="Times New Roman" w:eastAsia="方正仿宋_GBK" w:cs="Times New Roman"/>
          <w:sz w:val="32"/>
          <w:szCs w:val="32"/>
          <w:lang w:eastAsia="zh-CN"/>
        </w:rPr>
        <w:t>本年度培训较去年有所增加。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（二）机关运行经费情况说明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截至2023年12月31日，本单位共有车辆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xml:space="preserve">  </w:t>
      </w:r>
      <w:r>
        <w:rPr>
          <w:rFonts w:hint="default" w:ascii="Times New Roman" w:hAnsi="Times New Roman" w:eastAsia="方正仿宋_GBK" w:cs="Times New Roman"/>
          <w:b w:val="0"/>
          <w:bCs w:val="0"/>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94" w:lineRule="exact"/>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本部分内容</w:t>
      </w:r>
      <w:r>
        <w:rPr>
          <w:rFonts w:hint="default" w:ascii="Times New Roman" w:hAnsi="Times New Roman" w:eastAsia="方正仿宋_GBK" w:cs="Times New Roman"/>
          <w:sz w:val="32"/>
          <w:szCs w:val="32"/>
          <w:lang w:eastAsia="zh-CN"/>
        </w:rPr>
        <w:t>详见</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lang w:eastAsia="zh-CN"/>
        </w:rPr>
        <w:t>忠县任家镇人民政府202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年度部门决算情况说明。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w:t>
      </w:r>
      <w:r>
        <w:rPr>
          <w:rStyle w:val="10"/>
          <w:rFonts w:hint="default" w:ascii="Times New Roman" w:hAnsi="Times New Roman" w:eastAsia="黑体" w:cs="Times New Roman"/>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楷体"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（二）事业收入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（三）经营收入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（四）其他收入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（五）使用非财政拨款结余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（六）年初结转和结余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（七）结余分配</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（八）年末结转和结余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（九）基本支出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（十）项目支出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（十一）经营支出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（十二）“三公”经费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（十三）机关运行经费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（十四）工资福利支出（支出经济分类科目类级）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（十五）商品和服务支出（支出经济分类科目类级）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 （十六）对个人和家庭的补助（支出经济分类科目类级）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（十七）其他资本性支出（支出经济分类科目类级）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w:t>
      </w:r>
      <w:r>
        <w:rPr>
          <w:rStyle w:val="10"/>
          <w:rFonts w:hint="default" w:ascii="Times New Roman" w:hAnsi="Times New Roman" w:eastAsia="黑体" w:cs="Times New Roman"/>
          <w:b w:val="0"/>
          <w:bCs w:val="0"/>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Style w:val="10"/>
          <w:rFonts w:hint="default" w:ascii="Times New Roman" w:hAnsi="Times New Roman" w:eastAsia="方正仿宋_GBK" w:cs="Times New Roman"/>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rPr>
        <w:t>023-54890101。</w:t>
      </w:r>
    </w:p>
    <w:p>
      <w:pPr>
        <w:keepNext w:val="0"/>
        <w:keepLines w:val="0"/>
        <w:pageBreakBefore w:val="0"/>
        <w:widowControl/>
        <w:kinsoku/>
        <w:wordWrap/>
        <w:overflowPunct/>
        <w:topLinePunct w:val="0"/>
        <w:autoSpaceDN/>
        <w:bidi w:val="0"/>
        <w:adjustRightInd/>
        <w:spacing w:beforeAutospacing="0" w:afterAutospacing="0" w:line="594" w:lineRule="exact"/>
        <w:textAlignment w:val="auto"/>
        <w:rPr>
          <w:rFonts w:hint="default" w:ascii="Times New Roman" w:hAnsi="Times New Roman" w:cs="Times New Roman"/>
          <w:b w:val="0"/>
          <w:bCs w:val="0"/>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重庆市忠县任家镇文化服务中心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60.39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重庆市忠县任家镇文化服务中心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75.41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75.41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重庆市忠县任家镇文化服务中心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75.41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72.41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重庆市忠县任家镇文化服务中心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重庆市忠县任家镇文化服务中心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重庆市忠县任家镇文化服务中心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65.99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重庆市忠县任家镇文化服务中心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重庆市忠县任家镇文化服务中心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重庆市忠县任家镇文化服务中心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UyZGU4NzE2NjEwNTcxOWMyZmIzOTg5Y2QyMjhiYT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3FF5050"/>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282E8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周冰洁</cp:lastModifiedBy>
  <dcterms:modified xsi:type="dcterms:W3CDTF">2024-10-11T04:56:05Z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BB46EABDBB2749749395447164B066B3_12</vt:lpwstr>
  </property>
</Properties>
</file>