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454" w:tblpY="1059"/>
        <w:tblW w:w="8947" w:type="dxa"/>
        <w:tblInd w:w="0" w:type="dxa"/>
        <w:tblLayout w:type="fixed"/>
        <w:tblCellMar>
          <w:top w:w="15" w:type="dxa"/>
          <w:left w:w="15" w:type="dxa"/>
          <w:bottom w:w="15" w:type="dxa"/>
          <w:right w:w="15" w:type="dxa"/>
        </w:tblCellMar>
      </w:tblPr>
      <w:tblGrid>
        <w:gridCol w:w="1245"/>
        <w:gridCol w:w="2032"/>
        <w:gridCol w:w="833"/>
        <w:gridCol w:w="1260"/>
        <w:gridCol w:w="1575"/>
        <w:gridCol w:w="2002"/>
      </w:tblGrid>
      <w:tr>
        <w:tblPrEx>
          <w:tblCellMar>
            <w:top w:w="15" w:type="dxa"/>
            <w:left w:w="15" w:type="dxa"/>
            <w:bottom w:w="15" w:type="dxa"/>
            <w:right w:w="15" w:type="dxa"/>
          </w:tblCellMar>
        </w:tblPrEx>
        <w:trPr>
          <w:trHeight w:val="594" w:hRule="atLeast"/>
        </w:trPr>
        <w:tc>
          <w:tcPr>
            <w:tcW w:w="8947" w:type="dxa"/>
            <w:gridSpan w:val="6"/>
            <w:vMerge w:val="restart"/>
            <w:vAlign w:val="center"/>
          </w:tcPr>
          <w:p>
            <w:pPr>
              <w:keepNext w:val="0"/>
              <w:keepLines w:val="0"/>
              <w:pageBreakBefore w:val="0"/>
              <w:widowControl/>
              <w:kinsoku/>
              <w:wordWrap/>
              <w:overflowPunct/>
              <w:topLinePunct w:val="0"/>
              <w:autoSpaceDE/>
              <w:autoSpaceDN/>
              <w:bidi w:val="0"/>
              <w:spacing w:line="594" w:lineRule="exact"/>
              <w:ind w:left="0" w:leftChars="0"/>
              <w:jc w:val="both"/>
              <w:textAlignment w:val="center"/>
              <w:rPr>
                <w:rFonts w:hint="default" w:ascii="Times New Roman" w:hAnsi="Times New Roman" w:eastAsia="方正黑体_GBK" w:cs="Times New Roman"/>
                <w:color w:val="auto"/>
                <w:kern w:val="0"/>
                <w:szCs w:val="32"/>
                <w:lang w:eastAsia="zh-CN" w:bidi="ar"/>
              </w:rPr>
            </w:pPr>
            <w:bookmarkStart w:id="0" w:name="_GoBack"/>
            <w:bookmarkEnd w:id="0"/>
            <w:r>
              <w:rPr>
                <w:rFonts w:hint="default" w:ascii="Times New Roman" w:hAnsi="Times New Roman" w:eastAsia="方正黑体_GBK" w:cs="Times New Roman"/>
                <w:color w:val="auto"/>
                <w:kern w:val="0"/>
                <w:szCs w:val="32"/>
                <w:lang w:bidi="ar"/>
              </w:rPr>
              <w:t>附件</w:t>
            </w:r>
            <w:r>
              <w:rPr>
                <w:rFonts w:hint="default" w:ascii="Times New Roman" w:hAnsi="Times New Roman" w:eastAsia="方正黑体_GBK" w:cs="Times New Roman"/>
                <w:color w:val="auto"/>
                <w:kern w:val="0"/>
                <w:szCs w:val="32"/>
                <w:lang w:val="en-US" w:eastAsia="zh-CN" w:bidi="ar"/>
              </w:rPr>
              <w:t>1</w:t>
            </w:r>
          </w:p>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黑体_GBK" w:cs="Times New Roman"/>
                <w:color w:val="auto"/>
                <w:szCs w:val="32"/>
              </w:rPr>
            </w:pPr>
            <w:r>
              <w:rPr>
                <w:rFonts w:hint="default" w:ascii="Times New Roman" w:hAnsi="Times New Roman" w:eastAsia="方正小标宋_GBK" w:cs="Times New Roman"/>
                <w:color w:val="auto"/>
                <w:kern w:val="0"/>
                <w:sz w:val="44"/>
                <w:szCs w:val="44"/>
                <w:lang w:bidi="ar"/>
              </w:rPr>
              <w:t>贫困户到户到人产业扶贫补助标准表</w:t>
            </w:r>
          </w:p>
        </w:tc>
      </w:tr>
      <w:tr>
        <w:tblPrEx>
          <w:tblCellMar>
            <w:top w:w="15" w:type="dxa"/>
            <w:left w:w="15" w:type="dxa"/>
            <w:bottom w:w="15" w:type="dxa"/>
            <w:right w:w="15" w:type="dxa"/>
          </w:tblCellMar>
        </w:tblPrEx>
        <w:trPr>
          <w:trHeight w:val="594" w:hRule="atLeast"/>
        </w:trPr>
        <w:tc>
          <w:tcPr>
            <w:tcW w:w="8947" w:type="dxa"/>
            <w:gridSpan w:val="6"/>
            <w:vMerge w:val="continue"/>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宋体" w:cs="Times New Roman"/>
                <w:color w:val="auto"/>
                <w:sz w:val="22"/>
                <w:szCs w:val="24"/>
              </w:rPr>
            </w:pPr>
          </w:p>
        </w:tc>
      </w:tr>
      <w:tr>
        <w:tblPrEx>
          <w:tblCellMar>
            <w:top w:w="15" w:type="dxa"/>
            <w:left w:w="15" w:type="dxa"/>
            <w:bottom w:w="15" w:type="dxa"/>
            <w:right w:w="15" w:type="dxa"/>
          </w:tblCellMar>
        </w:tblPrEx>
        <w:trPr>
          <w:trHeight w:val="464" w:hRule="atLeast"/>
        </w:trPr>
        <w:tc>
          <w:tcPr>
            <w:tcW w:w="124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产业类别</w:t>
            </w:r>
          </w:p>
        </w:tc>
        <w:tc>
          <w:tcPr>
            <w:tcW w:w="20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品种</w:t>
            </w:r>
          </w:p>
        </w:tc>
        <w:tc>
          <w:tcPr>
            <w:tcW w:w="209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起补标准</w:t>
            </w:r>
          </w:p>
        </w:tc>
        <w:tc>
          <w:tcPr>
            <w:tcW w:w="15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补助标准</w:t>
            </w:r>
          </w:p>
        </w:tc>
        <w:tc>
          <w:tcPr>
            <w:tcW w:w="20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备注</w:t>
            </w:r>
          </w:p>
        </w:tc>
      </w:tr>
      <w:tr>
        <w:tblPrEx>
          <w:tblCellMar>
            <w:top w:w="15" w:type="dxa"/>
            <w:left w:w="15" w:type="dxa"/>
            <w:bottom w:w="15" w:type="dxa"/>
            <w:right w:w="15" w:type="dxa"/>
          </w:tblCellMar>
        </w:tblPrEx>
        <w:trPr>
          <w:trHeight w:val="374" w:hRule="atLeast"/>
        </w:trPr>
        <w:tc>
          <w:tcPr>
            <w:tcW w:w="124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c>
          <w:tcPr>
            <w:tcW w:w="203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规模</w:t>
            </w:r>
          </w:p>
        </w:tc>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c>
          <w:tcPr>
            <w:tcW w:w="20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r>
      <w:tr>
        <w:tblPrEx>
          <w:tblCellMar>
            <w:top w:w="15" w:type="dxa"/>
            <w:left w:w="15" w:type="dxa"/>
            <w:bottom w:w="15" w:type="dxa"/>
            <w:right w:w="15" w:type="dxa"/>
          </w:tblCellMar>
        </w:tblPrEx>
        <w:trPr>
          <w:trHeight w:val="560" w:hRule="exact"/>
        </w:trPr>
        <w:tc>
          <w:tcPr>
            <w:tcW w:w="1245"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种植</w:t>
            </w:r>
          </w:p>
        </w:tc>
        <w:tc>
          <w:tcPr>
            <w:tcW w:w="2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高粱</w:t>
            </w: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亩</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val="en-US" w:eastAsia="zh-CN" w:bidi="ar"/>
              </w:rPr>
              <w:t>2</w:t>
            </w:r>
            <w:r>
              <w:rPr>
                <w:rFonts w:hint="default" w:ascii="Times New Roman" w:hAnsi="Times New Roman" w:cs="Times New Roman"/>
                <w:color w:val="auto"/>
                <w:kern w:val="0"/>
                <w:sz w:val="24"/>
                <w:szCs w:val="24"/>
                <w:lang w:bidi="ar"/>
              </w:rPr>
              <w:t>00元/亩</w:t>
            </w:r>
          </w:p>
        </w:tc>
        <w:tc>
          <w:tcPr>
            <w:tcW w:w="2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r>
      <w:tr>
        <w:tblPrEx>
          <w:tblCellMar>
            <w:top w:w="15" w:type="dxa"/>
            <w:left w:w="15" w:type="dxa"/>
            <w:bottom w:w="15" w:type="dxa"/>
            <w:right w:w="15" w:type="dxa"/>
          </w:tblCellMar>
        </w:tblPrEx>
        <w:trPr>
          <w:trHeight w:val="540" w:hRule="exact"/>
        </w:trPr>
        <w:tc>
          <w:tcPr>
            <w:tcW w:w="124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油菜</w:t>
            </w: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亩</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kern w:val="0"/>
                <w:sz w:val="24"/>
                <w:szCs w:val="24"/>
                <w:lang w:bidi="ar"/>
              </w:rPr>
            </w:pPr>
            <w:r>
              <w:rPr>
                <w:rFonts w:hint="default" w:ascii="Times New Roman" w:hAnsi="Times New Roman" w:cs="Times New Roman"/>
                <w:color w:val="auto"/>
                <w:kern w:val="0"/>
                <w:sz w:val="24"/>
                <w:szCs w:val="24"/>
                <w:lang w:bidi="ar"/>
              </w:rPr>
              <w:t>100元/亩</w:t>
            </w:r>
          </w:p>
        </w:tc>
        <w:tc>
          <w:tcPr>
            <w:tcW w:w="2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r>
      <w:tr>
        <w:tblPrEx>
          <w:tblCellMar>
            <w:top w:w="15" w:type="dxa"/>
            <w:left w:w="15" w:type="dxa"/>
            <w:bottom w:w="15" w:type="dxa"/>
            <w:right w:w="15" w:type="dxa"/>
          </w:tblCellMar>
        </w:tblPrEx>
        <w:trPr>
          <w:trHeight w:val="540" w:hRule="exact"/>
        </w:trPr>
        <w:tc>
          <w:tcPr>
            <w:tcW w:w="1245" w:type="dxa"/>
            <w:vMerge w:val="continue"/>
            <w:tcBorders>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c>
          <w:tcPr>
            <w:tcW w:w="2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水果</w:t>
            </w: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亩</w:t>
            </w: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1</w:t>
            </w:r>
          </w:p>
        </w:tc>
        <w:tc>
          <w:tcPr>
            <w:tcW w:w="15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300元/亩</w:t>
            </w:r>
          </w:p>
        </w:tc>
        <w:tc>
          <w:tcPr>
            <w:tcW w:w="20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r>
      <w:tr>
        <w:tblPrEx>
          <w:tblCellMar>
            <w:top w:w="15" w:type="dxa"/>
            <w:left w:w="15" w:type="dxa"/>
            <w:bottom w:w="15" w:type="dxa"/>
            <w:right w:w="15" w:type="dxa"/>
          </w:tblCellMar>
        </w:tblPrEx>
        <w:trPr>
          <w:trHeight w:val="550" w:hRule="exact"/>
        </w:trPr>
        <w:tc>
          <w:tcPr>
            <w:tcW w:w="1245"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cs="Times New Roman"/>
                <w:color w:val="auto"/>
                <w:sz w:val="24"/>
                <w:szCs w:val="24"/>
              </w:rPr>
            </w:pPr>
          </w:p>
        </w:tc>
        <w:tc>
          <w:tcPr>
            <w:tcW w:w="203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cs="Times New Roman"/>
                <w:color w:val="auto"/>
                <w:kern w:val="0"/>
                <w:sz w:val="24"/>
                <w:szCs w:val="24"/>
                <w:lang w:eastAsia="zh-CN" w:bidi="ar"/>
              </w:rPr>
              <w:t>其他特色经济作物</w:t>
            </w:r>
          </w:p>
        </w:tc>
        <w:tc>
          <w:tcPr>
            <w:tcW w:w="83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color w:val="auto"/>
                <w:sz w:val="24"/>
                <w:szCs w:val="24"/>
                <w:lang w:eastAsia="zh-CN"/>
              </w:rPr>
            </w:pPr>
            <w:r>
              <w:rPr>
                <w:rFonts w:hint="default" w:ascii="Times New Roman" w:hAnsi="Times New Roman" w:cs="Times New Roman"/>
                <w:color w:val="auto"/>
                <w:sz w:val="24"/>
                <w:szCs w:val="24"/>
                <w:lang w:eastAsia="zh-CN"/>
              </w:rPr>
              <w:t>亩</w:t>
            </w:r>
          </w:p>
        </w:tc>
        <w:tc>
          <w:tcPr>
            <w:tcW w:w="126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1</w:t>
            </w:r>
          </w:p>
        </w:tc>
        <w:tc>
          <w:tcPr>
            <w:tcW w:w="157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val="en-US" w:eastAsia="zh-CN" w:bidi="ar"/>
              </w:rPr>
              <w:t>2</w:t>
            </w:r>
            <w:r>
              <w:rPr>
                <w:rFonts w:hint="default" w:ascii="Times New Roman" w:hAnsi="Times New Roman" w:cs="Times New Roman"/>
                <w:color w:val="auto"/>
                <w:kern w:val="0"/>
                <w:sz w:val="24"/>
                <w:szCs w:val="24"/>
                <w:lang w:bidi="ar"/>
              </w:rPr>
              <w:t>00元/亩</w:t>
            </w:r>
          </w:p>
        </w:tc>
        <w:tc>
          <w:tcPr>
            <w:tcW w:w="200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color w:val="auto"/>
                <w:sz w:val="24"/>
                <w:szCs w:val="24"/>
                <w:lang w:eastAsia="zh-CN"/>
              </w:rPr>
            </w:pPr>
            <w:r>
              <w:rPr>
                <w:rFonts w:hint="default" w:ascii="Times New Roman" w:hAnsi="Times New Roman" w:cs="Times New Roman"/>
                <w:color w:val="auto"/>
                <w:sz w:val="21"/>
                <w:szCs w:val="21"/>
                <w:lang w:eastAsia="zh-CN"/>
              </w:rPr>
              <w:t>以经发办核实为准</w:t>
            </w:r>
          </w:p>
        </w:tc>
      </w:tr>
      <w:tr>
        <w:tblPrEx>
          <w:tblCellMar>
            <w:top w:w="15" w:type="dxa"/>
            <w:left w:w="15" w:type="dxa"/>
            <w:bottom w:w="15" w:type="dxa"/>
            <w:right w:w="15" w:type="dxa"/>
          </w:tblCellMar>
        </w:tblPrEx>
        <w:trPr>
          <w:trHeight w:val="542" w:hRule="exact"/>
        </w:trPr>
        <w:tc>
          <w:tcPr>
            <w:tcW w:w="124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养殖</w:t>
            </w: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肉（耕）牛</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1</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val="en-US" w:eastAsia="zh-CN" w:bidi="ar"/>
              </w:rPr>
              <w:t>5</w:t>
            </w:r>
            <w:r>
              <w:rPr>
                <w:rFonts w:hint="default" w:ascii="Times New Roman" w:hAnsi="Times New Roman" w:eastAsia="方正仿宋_GBK" w:cs="Times New Roman"/>
                <w:b w:val="0"/>
                <w:bCs/>
                <w:color w:val="auto"/>
                <w:kern w:val="0"/>
                <w:sz w:val="24"/>
                <w:szCs w:val="24"/>
                <w:lang w:bidi="ar"/>
              </w:rPr>
              <w:t>00元/头</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p>
        </w:tc>
      </w:tr>
      <w:tr>
        <w:tblPrEx>
          <w:tblCellMar>
            <w:top w:w="15" w:type="dxa"/>
            <w:left w:w="15" w:type="dxa"/>
            <w:bottom w:w="15" w:type="dxa"/>
            <w:right w:w="15" w:type="dxa"/>
          </w:tblCellMar>
        </w:tblPrEx>
        <w:trPr>
          <w:trHeight w:val="422" w:hRule="exact"/>
        </w:trPr>
        <w:tc>
          <w:tcPr>
            <w:tcW w:w="12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猪</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lang w:val="en-US" w:eastAsia="zh-CN"/>
              </w:rPr>
              <w:t>2</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val="en-US" w:eastAsia="zh-CN" w:bidi="ar"/>
              </w:rPr>
              <w:t>2</w:t>
            </w:r>
            <w:r>
              <w:rPr>
                <w:rFonts w:hint="default" w:ascii="Times New Roman" w:hAnsi="Times New Roman" w:eastAsia="方正仿宋_GBK" w:cs="Times New Roman"/>
                <w:b w:val="0"/>
                <w:bCs/>
                <w:color w:val="auto"/>
                <w:kern w:val="0"/>
                <w:sz w:val="24"/>
                <w:szCs w:val="24"/>
                <w:lang w:bidi="ar"/>
              </w:rPr>
              <w:t>00元/头</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1"/>
                <w:szCs w:val="21"/>
              </w:rPr>
            </w:pPr>
            <w:r>
              <w:rPr>
                <w:rFonts w:hint="default" w:ascii="Times New Roman" w:hAnsi="Times New Roman" w:eastAsia="方正仿宋_GBK" w:cs="Times New Roman"/>
                <w:b w:val="0"/>
                <w:bCs/>
                <w:color w:val="auto"/>
                <w:sz w:val="21"/>
                <w:szCs w:val="21"/>
              </w:rPr>
              <w:t>生猪（乳崽除外）</w:t>
            </w:r>
          </w:p>
        </w:tc>
      </w:tr>
      <w:tr>
        <w:tblPrEx>
          <w:tblCellMar>
            <w:top w:w="15" w:type="dxa"/>
            <w:left w:w="15" w:type="dxa"/>
            <w:bottom w:w="15" w:type="dxa"/>
            <w:right w:w="15" w:type="dxa"/>
          </w:tblCellMar>
        </w:tblPrEx>
        <w:trPr>
          <w:trHeight w:val="497" w:hRule="exact"/>
        </w:trPr>
        <w:tc>
          <w:tcPr>
            <w:tcW w:w="12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1</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val="en-US" w:eastAsia="zh-CN" w:bidi="ar"/>
              </w:rPr>
              <w:t>4</w:t>
            </w:r>
            <w:r>
              <w:rPr>
                <w:rFonts w:hint="default" w:ascii="Times New Roman" w:hAnsi="Times New Roman" w:eastAsia="方正仿宋_GBK" w:cs="Times New Roman"/>
                <w:b w:val="0"/>
                <w:bCs/>
                <w:color w:val="auto"/>
                <w:kern w:val="0"/>
                <w:sz w:val="24"/>
                <w:szCs w:val="24"/>
                <w:lang w:bidi="ar"/>
              </w:rPr>
              <w:t>00元/头</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能繁母猪</w:t>
            </w:r>
          </w:p>
        </w:tc>
      </w:tr>
      <w:tr>
        <w:tblPrEx>
          <w:tblCellMar>
            <w:top w:w="15" w:type="dxa"/>
            <w:left w:w="15" w:type="dxa"/>
            <w:bottom w:w="15" w:type="dxa"/>
            <w:right w:w="15" w:type="dxa"/>
          </w:tblCellMar>
        </w:tblPrEx>
        <w:trPr>
          <w:trHeight w:val="558" w:hRule="exact"/>
        </w:trPr>
        <w:tc>
          <w:tcPr>
            <w:tcW w:w="12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羊</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只</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lang w:val="en-US" w:eastAsia="zh-CN"/>
              </w:rPr>
              <w:t>2</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val="en-US" w:eastAsia="zh-CN" w:bidi="ar"/>
              </w:rPr>
              <w:t>1</w:t>
            </w:r>
            <w:r>
              <w:rPr>
                <w:rFonts w:hint="default" w:ascii="Times New Roman" w:hAnsi="Times New Roman" w:eastAsia="方正仿宋_GBK" w:cs="Times New Roman"/>
                <w:b w:val="0"/>
                <w:bCs/>
                <w:color w:val="auto"/>
                <w:kern w:val="0"/>
                <w:sz w:val="24"/>
                <w:szCs w:val="24"/>
                <w:lang w:bidi="ar"/>
              </w:rPr>
              <w:t>00元/只</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textAlignment w:val="center"/>
              <w:rPr>
                <w:rFonts w:hint="default" w:ascii="Times New Roman" w:hAnsi="Times New Roman" w:eastAsia="方正仿宋_GBK" w:cs="Times New Roman"/>
                <w:b w:val="0"/>
                <w:bCs/>
                <w:color w:val="auto"/>
                <w:sz w:val="24"/>
                <w:szCs w:val="24"/>
              </w:rPr>
            </w:pPr>
          </w:p>
        </w:tc>
      </w:tr>
      <w:tr>
        <w:tblPrEx>
          <w:tblCellMar>
            <w:top w:w="15" w:type="dxa"/>
            <w:left w:w="15" w:type="dxa"/>
            <w:bottom w:w="15" w:type="dxa"/>
            <w:right w:w="15" w:type="dxa"/>
          </w:tblCellMar>
        </w:tblPrEx>
        <w:trPr>
          <w:trHeight w:val="1281" w:hRule="exact"/>
        </w:trPr>
        <w:tc>
          <w:tcPr>
            <w:tcW w:w="12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鸡鸭鹅</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只</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30</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_GBK" w:cs="Times New Roman"/>
                <w:b w:val="0"/>
                <w:bCs/>
                <w:color w:val="auto"/>
                <w:kern w:val="0"/>
                <w:sz w:val="21"/>
                <w:szCs w:val="21"/>
                <w:lang w:bidi="ar"/>
              </w:rPr>
            </w:pPr>
            <w:r>
              <w:rPr>
                <w:rFonts w:hint="default" w:ascii="Times New Roman" w:hAnsi="Times New Roman" w:eastAsia="方正仿宋_GBK" w:cs="Times New Roman"/>
                <w:b w:val="0"/>
                <w:bCs/>
                <w:color w:val="auto"/>
                <w:kern w:val="0"/>
                <w:sz w:val="21"/>
                <w:szCs w:val="21"/>
                <w:lang w:bidi="ar"/>
              </w:rPr>
              <w:t>鸭10元/只</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1"/>
                <w:szCs w:val="21"/>
                <w:lang w:bidi="ar"/>
              </w:rPr>
              <w:t>鸡</w:t>
            </w:r>
            <w:r>
              <w:rPr>
                <w:rFonts w:hint="default" w:ascii="Times New Roman" w:hAnsi="Times New Roman" w:eastAsia="方正仿宋_GBK" w:cs="Times New Roman"/>
                <w:b w:val="0"/>
                <w:bCs/>
                <w:color w:val="auto"/>
                <w:kern w:val="0"/>
                <w:sz w:val="21"/>
                <w:szCs w:val="21"/>
                <w:lang w:val="en-US" w:eastAsia="zh-CN" w:bidi="ar"/>
              </w:rPr>
              <w:t>10</w:t>
            </w:r>
            <w:r>
              <w:rPr>
                <w:rFonts w:hint="default" w:ascii="Times New Roman" w:hAnsi="Times New Roman" w:eastAsia="方正仿宋_GBK" w:cs="Times New Roman"/>
                <w:b w:val="0"/>
                <w:bCs/>
                <w:color w:val="auto"/>
                <w:kern w:val="0"/>
                <w:sz w:val="24"/>
                <w:szCs w:val="24"/>
                <w:lang w:bidi="ar"/>
              </w:rPr>
              <w:t>元/只</w:t>
            </w:r>
          </w:p>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1"/>
                <w:szCs w:val="21"/>
                <w:lang w:bidi="ar"/>
              </w:rPr>
              <w:t>鹅</w:t>
            </w:r>
            <w:r>
              <w:rPr>
                <w:rFonts w:hint="default" w:ascii="Times New Roman" w:hAnsi="Times New Roman" w:eastAsia="方正仿宋_GBK" w:cs="Times New Roman"/>
                <w:b w:val="0"/>
                <w:bCs/>
                <w:color w:val="auto"/>
                <w:kern w:val="0"/>
                <w:sz w:val="21"/>
                <w:szCs w:val="21"/>
                <w:lang w:val="en-US" w:eastAsia="zh-CN" w:bidi="ar"/>
              </w:rPr>
              <w:t>15</w:t>
            </w:r>
            <w:r>
              <w:rPr>
                <w:rFonts w:hint="default" w:ascii="Times New Roman" w:hAnsi="Times New Roman" w:eastAsia="方正仿宋_GBK" w:cs="Times New Roman"/>
                <w:b w:val="0"/>
                <w:bCs/>
                <w:color w:val="auto"/>
                <w:kern w:val="0"/>
                <w:sz w:val="21"/>
                <w:szCs w:val="21"/>
                <w:lang w:bidi="ar"/>
              </w:rPr>
              <w:t>元/只</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可合算只数</w:t>
            </w:r>
          </w:p>
        </w:tc>
      </w:tr>
      <w:tr>
        <w:tblPrEx>
          <w:tblCellMar>
            <w:top w:w="15" w:type="dxa"/>
            <w:left w:w="15" w:type="dxa"/>
            <w:bottom w:w="15" w:type="dxa"/>
            <w:right w:w="15" w:type="dxa"/>
          </w:tblCellMar>
        </w:tblPrEx>
        <w:trPr>
          <w:trHeight w:val="698" w:hRule="exact"/>
        </w:trPr>
        <w:tc>
          <w:tcPr>
            <w:tcW w:w="12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蜜蜂</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桶</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lang w:val="en-US" w:eastAsia="zh-CN"/>
              </w:rPr>
            </w:pPr>
            <w:r>
              <w:rPr>
                <w:rFonts w:hint="default" w:ascii="Times New Roman" w:hAnsi="Times New Roman" w:eastAsia="方正仿宋_GBK" w:cs="Times New Roman"/>
                <w:b w:val="0"/>
                <w:bCs/>
                <w:color w:val="auto"/>
                <w:sz w:val="24"/>
                <w:szCs w:val="24"/>
                <w:lang w:val="en-US" w:eastAsia="zh-CN"/>
              </w:rPr>
              <w:t>2</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kern w:val="0"/>
                <w:sz w:val="24"/>
                <w:szCs w:val="24"/>
                <w:lang w:bidi="ar"/>
              </w:rPr>
              <w:t>200元/桶</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p>
        </w:tc>
      </w:tr>
      <w:tr>
        <w:tblPrEx>
          <w:tblCellMar>
            <w:top w:w="15" w:type="dxa"/>
            <w:left w:w="15" w:type="dxa"/>
            <w:bottom w:w="15" w:type="dxa"/>
            <w:right w:w="15" w:type="dxa"/>
          </w:tblCellMar>
        </w:tblPrEx>
        <w:trPr>
          <w:trHeight w:val="696" w:hRule="exact"/>
        </w:trPr>
        <w:tc>
          <w:tcPr>
            <w:tcW w:w="124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firstLine="720" w:firstLineChars="300"/>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肉兔</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只</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20</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val="en-US" w:eastAsia="zh-CN" w:bidi="ar"/>
              </w:rPr>
              <w:t>1</w:t>
            </w:r>
            <w:r>
              <w:rPr>
                <w:rFonts w:hint="default" w:ascii="Times New Roman" w:hAnsi="Times New Roman" w:eastAsia="方正仿宋_GBK" w:cs="Times New Roman"/>
                <w:b w:val="0"/>
                <w:bCs/>
                <w:color w:val="auto"/>
                <w:kern w:val="0"/>
                <w:sz w:val="24"/>
                <w:szCs w:val="24"/>
                <w:lang w:bidi="ar"/>
              </w:rPr>
              <w:t>0元/只</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p>
        </w:tc>
      </w:tr>
      <w:tr>
        <w:tblPrEx>
          <w:tblCellMar>
            <w:top w:w="15" w:type="dxa"/>
            <w:left w:w="15" w:type="dxa"/>
            <w:bottom w:w="15" w:type="dxa"/>
            <w:right w:w="15" w:type="dxa"/>
          </w:tblCellMar>
        </w:tblPrEx>
        <w:trPr>
          <w:trHeight w:val="1258" w:hRule="exact"/>
        </w:trPr>
        <w:tc>
          <w:tcPr>
            <w:tcW w:w="124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jc w:val="center"/>
              <w:rPr>
                <w:rFonts w:hint="default" w:ascii="Times New Roman" w:hAnsi="Times New Roman" w:eastAsia="方正仿宋_GBK" w:cs="Times New Roman"/>
                <w:b w:val="0"/>
                <w:bCs/>
                <w:color w:val="auto"/>
                <w:sz w:val="24"/>
                <w:szCs w:val="24"/>
              </w:rPr>
            </w:pPr>
          </w:p>
        </w:tc>
        <w:tc>
          <w:tcPr>
            <w:tcW w:w="203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94" w:lineRule="exact"/>
              <w:ind w:left="0" w:leftChars="0" w:firstLine="720" w:firstLineChars="300"/>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种兔</w:t>
            </w:r>
          </w:p>
        </w:tc>
        <w:tc>
          <w:tcPr>
            <w:tcW w:w="8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组</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94" w:lineRule="exact"/>
              <w:ind w:left="0" w:leftChars="0"/>
              <w:jc w:val="center"/>
              <w:textAlignment w:val="center"/>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bidi="ar"/>
              </w:rPr>
              <w:t>1</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center"/>
              <w:rPr>
                <w:rFonts w:hint="default" w:ascii="Times New Roman" w:hAnsi="Times New Roman" w:eastAsia="方正仿宋_GBK" w:cs="Times New Roman"/>
                <w:b w:val="0"/>
                <w:bCs/>
                <w:color w:val="auto"/>
                <w:kern w:val="0"/>
                <w:sz w:val="24"/>
                <w:szCs w:val="24"/>
                <w:lang w:bidi="ar"/>
              </w:rPr>
            </w:pPr>
            <w:r>
              <w:rPr>
                <w:rFonts w:hint="default" w:ascii="Times New Roman" w:hAnsi="Times New Roman" w:eastAsia="方正仿宋_GBK" w:cs="Times New Roman"/>
                <w:b w:val="0"/>
                <w:bCs/>
                <w:color w:val="auto"/>
                <w:kern w:val="0"/>
                <w:sz w:val="24"/>
                <w:szCs w:val="24"/>
                <w:lang w:val="en-US" w:eastAsia="zh-CN" w:bidi="ar"/>
              </w:rPr>
              <w:t>8</w:t>
            </w:r>
            <w:r>
              <w:rPr>
                <w:rFonts w:hint="default" w:ascii="Times New Roman" w:hAnsi="Times New Roman" w:eastAsia="方正仿宋_GBK" w:cs="Times New Roman"/>
                <w:b w:val="0"/>
                <w:bCs/>
                <w:color w:val="auto"/>
                <w:kern w:val="0"/>
                <w:sz w:val="24"/>
                <w:szCs w:val="24"/>
                <w:lang w:bidi="ar"/>
              </w:rPr>
              <w:t>00元/组</w:t>
            </w:r>
          </w:p>
        </w:tc>
        <w:tc>
          <w:tcPr>
            <w:tcW w:w="20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jc w:val="center"/>
              <w:textAlignment w:val="center"/>
              <w:rPr>
                <w:rFonts w:hint="default" w:ascii="Times New Roman" w:hAnsi="Times New Roman" w:eastAsia="方正仿宋_GBK" w:cs="Times New Roman"/>
                <w:b w:val="0"/>
                <w:bCs/>
                <w:color w:val="auto"/>
                <w:sz w:val="24"/>
                <w:szCs w:val="24"/>
              </w:rPr>
            </w:pPr>
            <w:r>
              <w:rPr>
                <w:rFonts w:hint="default" w:ascii="Times New Roman" w:hAnsi="Times New Roman" w:eastAsia="方正仿宋_GBK" w:cs="Times New Roman"/>
                <w:b w:val="0"/>
                <w:bCs/>
                <w:color w:val="auto"/>
                <w:sz w:val="24"/>
                <w:szCs w:val="24"/>
              </w:rPr>
              <w:t>一组为1只公兔8只母兔</w:t>
            </w:r>
          </w:p>
        </w:tc>
      </w:tr>
    </w:tbl>
    <w:p>
      <w:pPr>
        <w:keepNext w:val="0"/>
        <w:keepLines w:val="0"/>
        <w:pageBreakBefore w:val="0"/>
        <w:widowControl w:val="0"/>
        <w:kinsoku/>
        <w:wordWrap/>
        <w:overflowPunct/>
        <w:topLinePunct w:val="0"/>
        <w:autoSpaceDE/>
        <w:autoSpaceDN/>
        <w:bidi w:val="0"/>
        <w:snapToGrid/>
        <w:spacing w:line="440" w:lineRule="exact"/>
        <w:ind w:left="0" w:leftChars="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其他特色种养项目先申报，经现场查看后制定补助规模与标准。</w:t>
      </w:r>
    </w:p>
    <w:p>
      <w:pPr>
        <w:keepNext w:val="0"/>
        <w:keepLines w:val="0"/>
        <w:pageBreakBefore w:val="0"/>
        <w:widowControl w:val="0"/>
        <w:kinsoku/>
        <w:wordWrap/>
        <w:overflowPunct/>
        <w:topLinePunct w:val="0"/>
        <w:autoSpaceDE/>
        <w:autoSpaceDN/>
        <w:bidi w:val="0"/>
        <w:snapToGrid/>
        <w:spacing w:line="440" w:lineRule="exact"/>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此表如有调整，以镇党委会研究结论为准。</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补助标准每户累计不得超过</w:t>
      </w:r>
      <w:r>
        <w:rPr>
          <w:rFonts w:hint="default" w:ascii="Times New Roman" w:hAnsi="Times New Roman" w:cs="Times New Roman"/>
          <w:color w:val="auto"/>
          <w:sz w:val="24"/>
          <w:szCs w:val="24"/>
          <w:lang w:val="en-US" w:eastAsia="zh-CN"/>
        </w:rPr>
        <w:t>25</w:t>
      </w:r>
      <w:r>
        <w:rPr>
          <w:rFonts w:hint="default" w:ascii="Times New Roman" w:hAnsi="Times New Roman" w:cs="Times New Roman"/>
          <w:color w:val="auto"/>
          <w:sz w:val="24"/>
          <w:szCs w:val="24"/>
        </w:rPr>
        <w:t>00元。</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本次补助为新</w:t>
      </w:r>
      <w:r>
        <w:rPr>
          <w:rFonts w:hint="eastAsia" w:ascii="Times New Roman" w:hAnsi="Times New Roman" w:cs="Times New Roman"/>
          <w:color w:val="auto"/>
          <w:sz w:val="24"/>
          <w:szCs w:val="24"/>
          <w:lang w:eastAsia="zh-CN"/>
        </w:rPr>
        <w:t>种植养殖</w:t>
      </w:r>
      <w:r>
        <w:rPr>
          <w:rFonts w:hint="default" w:ascii="Times New Roman" w:hAnsi="Times New Roman" w:cs="Times New Roman"/>
          <w:color w:val="auto"/>
          <w:sz w:val="24"/>
          <w:szCs w:val="24"/>
        </w:rPr>
        <w:t>项目，不能重复享受补助（</w:t>
      </w:r>
      <w:r>
        <w:rPr>
          <w:rFonts w:hint="default" w:ascii="Times New Roman" w:hAnsi="Times New Roman" w:cs="Times New Roman"/>
          <w:sz w:val="24"/>
          <w:szCs w:val="24"/>
          <w:lang w:val="en-US" w:eastAsia="zh-CN"/>
        </w:rPr>
        <w:t>即扣减2019年前已验收规模</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spacing w:line="440" w:lineRule="exact"/>
        <w:ind w:left="0" w:leftChars="0" w:firstLine="480" w:firstLineChars="200"/>
        <w:textAlignment w:val="auto"/>
      </w:pP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提倡外出务工和在家无劳动力的贫困户利用小额信贷和其他自筹资金与本地种养企业进行代种代养或者入资分红。补助标准实行先申报后研究制定。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9328F"/>
    <w:rsid w:val="2559328F"/>
    <w:rsid w:val="F7FBA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2021-07-12T21:19:00Z</dcterms:created>
  <dc:creator>Administrator</dc:creator>
  <cp:lastModifiedBy>user</cp:lastModifiedBy>
  <dcterms:modified xsi:type="dcterms:W3CDTF">2022-08-05T12:00:22Z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