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fill="FFFFFF"/>
        <w:jc w:val="center"/>
        <w:rPr>
          <w:sz w:val="48"/>
          <w:szCs w:val="48"/>
          <w:shd w:val="clear" w:fill="FFFFFF"/>
          <w:lang w:val="en-US"/>
        </w:rPr>
      </w:pPr>
      <w:r>
        <w:rPr>
          <w:sz w:val="48"/>
          <w:szCs w:val="48"/>
          <w:shd w:val="clear" w:fill="FFFFFF"/>
          <w:lang w:eastAsia="zh-CN"/>
        </w:rPr>
        <w:t>重庆市忠县兴峰乡综合行政执法大队</w:t>
      </w:r>
    </w:p>
    <w:p>
      <w:pPr>
        <w:pStyle w:val="2"/>
        <w:shd w:val="clear" w:fill="FFFFFF"/>
        <w:jc w:val="center"/>
      </w:pPr>
      <w:r>
        <w:rPr>
          <w:sz w:val="54"/>
          <w:szCs w:val="54"/>
          <w:shd w:val="clear" w:fill="FFFFFF"/>
          <w:lang w:val="en-US"/>
        </w:rPr>
        <w:t>2021</w:t>
      </w:r>
      <w:r>
        <w:rPr>
          <w:sz w:val="54"/>
          <w:szCs w:val="54"/>
          <w:shd w:val="clear" w:fill="FFFFFF"/>
          <w:lang w:eastAsia="zh-CN"/>
        </w:rPr>
        <w:t>年度部门决算情况说明</w:t>
      </w:r>
    </w:p>
    <w:p>
      <w:pPr>
        <w:pStyle w:val="2"/>
        <w:shd w:val="clear" w:fill="FFFFFF"/>
        <w:outlineLvl w:val="0"/>
      </w:pPr>
      <w:r>
        <w:rPr>
          <w:rStyle w:val="5"/>
          <w:rFonts w:hint="eastAsia" w:ascii="宋体" w:hAnsi="宋体" w:eastAsia="宋体" w:cs="宋体"/>
          <w:sz w:val="33"/>
          <w:szCs w:val="33"/>
          <w:shd w:val="clear" w:fill="FFFFFF"/>
          <w:lang w:val="en-US"/>
        </w:rPr>
        <w:t> </w:t>
      </w:r>
      <w:r>
        <w:rPr>
          <w:rStyle w:val="5"/>
          <w:rFonts w:hint="eastAsia" w:ascii="宋体" w:hAnsi="宋体" w:eastAsia="宋体" w:cs="宋体"/>
          <w:sz w:val="33"/>
          <w:szCs w:val="33"/>
          <w:shd w:val="clear" w:fill="FFFFFF"/>
          <w:lang w:eastAsia="zh-CN"/>
        </w:rPr>
        <w:t>一、部门基本情况</w:t>
      </w:r>
    </w:p>
    <w:p>
      <w:pPr>
        <w:pStyle w:val="2"/>
        <w:shd w:val="clear" w:fill="FFFFFF"/>
        <w:outlineLvl w:val="0"/>
      </w:pPr>
      <w:r>
        <w:rPr>
          <w:sz w:val="27"/>
          <w:szCs w:val="27"/>
          <w:shd w:val="clear" w:fill="FFFFFF"/>
          <w:lang w:val="en-US"/>
        </w:rPr>
        <w:t xml:space="preserve">  </w:t>
      </w:r>
      <w:r>
        <w:rPr>
          <w:rStyle w:val="5"/>
          <w:rFonts w:hint="eastAsia" w:ascii="宋体" w:hAnsi="宋体" w:eastAsia="宋体" w:cs="宋体"/>
          <w:sz w:val="27"/>
          <w:szCs w:val="27"/>
          <w:shd w:val="clear" w:fill="FFFFFF"/>
          <w:lang w:eastAsia="zh-CN"/>
        </w:rPr>
        <w:t>（一）职能职责</w:t>
      </w:r>
    </w:p>
    <w:p>
      <w:pPr>
        <w:pStyle w:val="2"/>
        <w:shd w:val="clear" w:fill="FFFFFF"/>
        <w:snapToGrid w:val="0"/>
        <w:rPr>
          <w:b/>
          <w:bCs w:val="0"/>
          <w:sz w:val="30"/>
          <w:szCs w:val="30"/>
          <w:shd w:val="clear" w:fill="FFFFFF"/>
          <w:lang w:val="en-US"/>
        </w:rPr>
      </w:pPr>
      <w:r>
        <w:rPr>
          <w:rStyle w:val="5"/>
          <w:rFonts w:hint="eastAsia" w:ascii="宋体" w:hAnsi="宋体" w:eastAsia="宋体" w:cs="宋体"/>
          <w:b w:val="0"/>
          <w:bCs/>
          <w:sz w:val="30"/>
          <w:szCs w:val="30"/>
          <w:shd w:val="clear" w:fill="FFFFFF"/>
          <w:lang w:val="en-US"/>
        </w:rPr>
        <w:t xml:space="preserve">    </w:t>
      </w:r>
      <w:r>
        <w:rPr>
          <w:rStyle w:val="5"/>
          <w:rFonts w:hint="eastAsia" w:ascii="宋体" w:hAnsi="宋体" w:eastAsia="宋体" w:cs="宋体"/>
          <w:b w:val="0"/>
          <w:bCs/>
          <w:sz w:val="30"/>
          <w:szCs w:val="30"/>
          <w:shd w:val="clear" w:fill="FFFFFF"/>
          <w:lang w:eastAsia="zh-CN"/>
        </w:rPr>
        <w:t>宣传贯彻执行党和国家的方针政策和有关农林水利、规划建设、环境保护、卫生健康、文化旅游、民政管理等领域的法律、法规和规章。依法行使本辖区范围内关农林水利、规划建设、环境保护、卫生健康、文化旅游、民政管理等领域行政执法。</w:t>
      </w:r>
    </w:p>
    <w:p>
      <w:pPr>
        <w:pStyle w:val="2"/>
        <w:shd w:val="clear" w:fill="FFFFFF"/>
        <w:outlineLvl w:val="0"/>
      </w:pPr>
      <w:r>
        <w:rPr>
          <w:sz w:val="27"/>
          <w:szCs w:val="27"/>
          <w:shd w:val="clear" w:fill="FFFFFF"/>
          <w:lang w:val="en-US"/>
        </w:rPr>
        <w:t xml:space="preserve">  </w:t>
      </w:r>
      <w:r>
        <w:rPr>
          <w:rStyle w:val="5"/>
          <w:rFonts w:hint="eastAsia" w:ascii="宋体" w:hAnsi="宋体" w:eastAsia="宋体" w:cs="宋体"/>
          <w:sz w:val="27"/>
          <w:szCs w:val="27"/>
          <w:shd w:val="clear" w:fill="FFFFFF"/>
          <w:lang w:eastAsia="zh-CN"/>
        </w:rPr>
        <w:t>（二）机构设置</w:t>
      </w:r>
    </w:p>
    <w:p>
      <w:pPr>
        <w:pStyle w:val="2"/>
        <w:shd w:val="clear" w:fill="FFFFFF"/>
        <w:snapToGrid w:val="0"/>
      </w:pPr>
      <w:r>
        <w:rPr>
          <w:sz w:val="30"/>
          <w:szCs w:val="30"/>
          <w:shd w:val="clear" w:fill="FFFFFF"/>
          <w:lang w:eastAsia="zh-CN"/>
        </w:rPr>
        <w:t>执法队内设</w:t>
      </w:r>
      <w:r>
        <w:rPr>
          <w:sz w:val="30"/>
          <w:szCs w:val="30"/>
          <w:shd w:val="clear" w:fill="FFFFFF"/>
          <w:lang w:val="en-US"/>
        </w:rPr>
        <w:t>1</w:t>
      </w:r>
      <w:r>
        <w:rPr>
          <w:sz w:val="30"/>
          <w:szCs w:val="30"/>
          <w:shd w:val="clear" w:fill="FFFFFF"/>
          <w:lang w:eastAsia="zh-CN"/>
        </w:rPr>
        <w:t>个综合办公室</w:t>
      </w:r>
    </w:p>
    <w:p>
      <w:pPr>
        <w:pStyle w:val="2"/>
        <w:shd w:val="clear" w:fill="FFFFFF"/>
        <w:outlineLvl w:val="0"/>
      </w:pPr>
      <w:r>
        <w:rPr>
          <w:sz w:val="27"/>
          <w:szCs w:val="27"/>
          <w:shd w:val="clear" w:fill="FFFFFF"/>
          <w:lang w:val="en-US"/>
        </w:rPr>
        <w:t xml:space="preserve">  </w:t>
      </w:r>
      <w:r>
        <w:rPr>
          <w:rStyle w:val="5"/>
          <w:rFonts w:hint="eastAsia" w:ascii="宋体" w:hAnsi="宋体" w:eastAsia="宋体" w:cs="宋体"/>
          <w:sz w:val="27"/>
          <w:szCs w:val="27"/>
          <w:shd w:val="clear" w:fill="FFFFFF"/>
          <w:lang w:eastAsia="zh-CN"/>
        </w:rPr>
        <w:t>（三）单位构成</w:t>
      </w:r>
    </w:p>
    <w:p>
      <w:pPr>
        <w:pStyle w:val="2"/>
        <w:shd w:val="clear" w:fill="FFFFFF"/>
        <w:snapToGrid w:val="0"/>
      </w:pPr>
      <w:r>
        <w:rPr>
          <w:rStyle w:val="5"/>
          <w:rFonts w:hint="eastAsia" w:ascii="宋体" w:hAnsi="宋体" w:eastAsia="宋体" w:cs="宋体"/>
          <w:sz w:val="27"/>
          <w:szCs w:val="27"/>
          <w:shd w:val="clear" w:fill="FFFFFF"/>
          <w:lang w:val="en-US"/>
        </w:rPr>
        <w:t> </w:t>
      </w:r>
      <w:r>
        <w:rPr>
          <w:sz w:val="30"/>
          <w:szCs w:val="30"/>
          <w:shd w:val="clear" w:fill="FFFFFF"/>
          <w:lang w:eastAsia="zh-CN"/>
        </w:rPr>
        <w:t>从预算单构成看，本单位属二级预算单位，无下级预算单位；从执行会计制度看，本单位执行事业单位会计制度。</w:t>
      </w:r>
    </w:p>
    <w:p>
      <w:pPr>
        <w:pStyle w:val="2"/>
        <w:shd w:val="clear" w:fill="FFFFFF"/>
      </w:pPr>
      <w:r>
        <w:rPr>
          <w:rStyle w:val="5"/>
          <w:rFonts w:hint="eastAsia" w:ascii="宋体" w:hAnsi="宋体" w:eastAsia="宋体" w:cs="宋体"/>
          <w:sz w:val="33"/>
          <w:szCs w:val="33"/>
          <w:shd w:val="clear" w:fill="FFFFFF"/>
          <w:lang w:val="en-US"/>
        </w:rPr>
        <w:t xml:space="preserve">  </w:t>
      </w:r>
      <w:r>
        <w:rPr>
          <w:rStyle w:val="5"/>
          <w:rFonts w:hint="eastAsia" w:ascii="宋体" w:hAnsi="宋体" w:eastAsia="宋体" w:cs="宋体"/>
          <w:sz w:val="33"/>
          <w:szCs w:val="33"/>
          <w:shd w:val="clear" w:fill="FFFFFF"/>
          <w:lang w:eastAsia="zh-CN"/>
        </w:rPr>
        <w:t>二、部门决算情况说明</w:t>
      </w:r>
    </w:p>
    <w:p>
      <w:pPr>
        <w:pStyle w:val="2"/>
        <w:shd w:val="clear" w:fill="FFFFFF"/>
        <w:outlineLvl w:val="0"/>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（一）收入支出决算总体情况说明。</w:t>
      </w:r>
    </w:p>
    <w:p>
      <w:pPr>
        <w:pStyle w:val="2"/>
        <w:shd w:val="clear" w:fill="FFFFFF"/>
      </w:pPr>
      <w:r>
        <w:rPr>
          <w:rStyle w:val="5"/>
          <w:rFonts w:hint="eastAsia" w:ascii="宋体" w:hAnsi="宋体" w:eastAsia="宋体" w:cs="宋体"/>
          <w:sz w:val="27"/>
          <w:szCs w:val="27"/>
          <w:shd w:val="clear" w:fill="FFFFFF"/>
          <w:lang w:val="en-US"/>
        </w:rPr>
        <w:t>  1.</w:t>
      </w:r>
      <w:r>
        <w:rPr>
          <w:rStyle w:val="5"/>
          <w:rFonts w:hint="eastAsia" w:ascii="宋体" w:hAnsi="宋体" w:eastAsia="宋体" w:cs="宋体"/>
          <w:sz w:val="27"/>
          <w:szCs w:val="27"/>
          <w:shd w:val="clear" w:fill="FFFFFF"/>
          <w:lang w:eastAsia="zh-CN"/>
        </w:rPr>
        <w:t>总体情况。</w:t>
      </w:r>
      <w:r>
        <w:rPr>
          <w:sz w:val="27"/>
          <w:szCs w:val="27"/>
          <w:shd w:val="clear" w:fill="FFFFFF"/>
          <w:lang w:val="en-US"/>
        </w:rPr>
        <w:t>2021</w:t>
      </w:r>
      <w:r>
        <w:rPr>
          <w:sz w:val="27"/>
          <w:szCs w:val="27"/>
          <w:shd w:val="clear" w:fill="FFFFFF"/>
          <w:lang w:eastAsia="zh-CN"/>
        </w:rPr>
        <w:t>年度收入总计</w:t>
      </w:r>
      <w:r>
        <w:rPr>
          <w:sz w:val="27"/>
          <w:szCs w:val="27"/>
          <w:shd w:val="clear" w:fill="FFFFFF"/>
          <w:lang w:val="en-US"/>
        </w:rPr>
        <w:t>78.17</w:t>
      </w:r>
      <w:r>
        <w:rPr>
          <w:sz w:val="27"/>
          <w:szCs w:val="27"/>
          <w:shd w:val="clear" w:fill="FFFFFF"/>
          <w:lang w:eastAsia="zh-CN"/>
        </w:rPr>
        <w:t>万元，支出总计</w:t>
      </w:r>
      <w:r>
        <w:rPr>
          <w:sz w:val="27"/>
          <w:szCs w:val="27"/>
          <w:shd w:val="clear" w:fill="FFFFFF"/>
          <w:lang w:val="en-US"/>
        </w:rPr>
        <w:t>78.17</w:t>
      </w:r>
      <w:r>
        <w:rPr>
          <w:sz w:val="27"/>
          <w:szCs w:val="27"/>
          <w:shd w:val="clear" w:fill="FFFFFF"/>
          <w:lang w:eastAsia="zh-CN"/>
        </w:rPr>
        <w:t>万元。收支较上年决算数减少</w:t>
      </w:r>
      <w:r>
        <w:rPr>
          <w:sz w:val="27"/>
          <w:szCs w:val="27"/>
          <w:shd w:val="clear" w:fill="FFFFFF"/>
          <w:lang w:val="en-US"/>
        </w:rPr>
        <w:t>43.12</w:t>
      </w:r>
      <w:r>
        <w:rPr>
          <w:sz w:val="27"/>
          <w:szCs w:val="27"/>
          <w:shd w:val="clear" w:fill="FFFFFF"/>
          <w:lang w:eastAsia="zh-CN"/>
        </w:rPr>
        <w:t>万元、下降</w:t>
      </w:r>
      <w:r>
        <w:rPr>
          <w:sz w:val="27"/>
          <w:szCs w:val="27"/>
          <w:shd w:val="clear" w:fill="FFFFFF"/>
          <w:lang w:val="en-US"/>
        </w:rPr>
        <w:t>35.6%</w:t>
      </w:r>
      <w:r>
        <w:rPr>
          <w:sz w:val="27"/>
          <w:szCs w:val="27"/>
          <w:shd w:val="clear" w:fill="FFFFFF"/>
          <w:lang w:eastAsia="zh-CN"/>
        </w:rPr>
        <w:t>，主要原因是人员调出减少收支。</w:t>
      </w:r>
    </w:p>
    <w:p>
      <w:pPr>
        <w:pStyle w:val="2"/>
        <w:shd w:val="clear" w:fill="FFFFFF"/>
        <w:rPr>
          <w:sz w:val="27"/>
          <w:szCs w:val="27"/>
          <w:shd w:val="clear" w:fill="FFFFFF"/>
          <w:lang w:val="en-US"/>
        </w:rPr>
      </w:pPr>
      <w:r>
        <w:rPr>
          <w:rStyle w:val="5"/>
          <w:rFonts w:hint="eastAsia" w:ascii="宋体" w:hAnsi="宋体" w:eastAsia="宋体" w:cs="宋体"/>
          <w:sz w:val="27"/>
          <w:szCs w:val="27"/>
          <w:shd w:val="clear" w:fill="FFFFFF"/>
          <w:lang w:val="en-US"/>
        </w:rPr>
        <w:t>  2.</w:t>
      </w:r>
      <w:r>
        <w:rPr>
          <w:rStyle w:val="5"/>
          <w:rFonts w:hint="eastAsia" w:ascii="宋体" w:hAnsi="宋体" w:eastAsia="宋体" w:cs="宋体"/>
          <w:sz w:val="27"/>
          <w:szCs w:val="27"/>
          <w:shd w:val="clear" w:fill="FFFFFF"/>
          <w:lang w:eastAsia="zh-CN"/>
        </w:rPr>
        <w:t>收入情况。</w:t>
      </w:r>
      <w:r>
        <w:rPr>
          <w:sz w:val="27"/>
          <w:szCs w:val="27"/>
          <w:shd w:val="clear" w:fill="FFFFFF"/>
          <w:lang w:val="en-US"/>
        </w:rPr>
        <w:t>2021</w:t>
      </w:r>
      <w:r>
        <w:rPr>
          <w:sz w:val="27"/>
          <w:szCs w:val="27"/>
          <w:shd w:val="clear" w:fill="FFFFFF"/>
          <w:lang w:eastAsia="zh-CN"/>
        </w:rPr>
        <w:t>年度收入合计</w:t>
      </w:r>
      <w:r>
        <w:rPr>
          <w:sz w:val="27"/>
          <w:szCs w:val="27"/>
          <w:shd w:val="clear" w:fill="FFFFFF"/>
          <w:lang w:val="en-US"/>
        </w:rPr>
        <w:t>78.17</w:t>
      </w:r>
      <w:r>
        <w:rPr>
          <w:sz w:val="27"/>
          <w:szCs w:val="27"/>
          <w:shd w:val="clear" w:fill="FFFFFF"/>
          <w:lang w:eastAsia="zh-CN"/>
        </w:rPr>
        <w:t>万元，较上年决算数减少</w:t>
      </w:r>
      <w:r>
        <w:rPr>
          <w:sz w:val="27"/>
          <w:szCs w:val="27"/>
          <w:shd w:val="clear" w:fill="FFFFFF"/>
          <w:lang w:val="en-US"/>
        </w:rPr>
        <w:t>43.12</w:t>
      </w:r>
      <w:r>
        <w:rPr>
          <w:sz w:val="27"/>
          <w:szCs w:val="27"/>
          <w:shd w:val="clear" w:fill="FFFFFF"/>
          <w:lang w:eastAsia="zh-CN"/>
        </w:rPr>
        <w:t>万元，下降</w:t>
      </w:r>
      <w:r>
        <w:rPr>
          <w:sz w:val="27"/>
          <w:szCs w:val="27"/>
          <w:shd w:val="clear" w:fill="FFFFFF"/>
          <w:lang w:val="en-US"/>
        </w:rPr>
        <w:t>35.6%</w:t>
      </w:r>
      <w:r>
        <w:rPr>
          <w:sz w:val="27"/>
          <w:szCs w:val="27"/>
          <w:shd w:val="clear" w:fill="FFFFFF"/>
          <w:lang w:eastAsia="zh-CN"/>
        </w:rPr>
        <w:t>，主要原因是人员调出减少收入。其中：财政拨款收入</w:t>
      </w:r>
      <w:r>
        <w:rPr>
          <w:sz w:val="27"/>
          <w:szCs w:val="27"/>
          <w:shd w:val="clear" w:fill="FFFFFF"/>
          <w:lang w:val="en-US"/>
        </w:rPr>
        <w:t>78.17</w:t>
      </w:r>
      <w:r>
        <w:rPr>
          <w:sz w:val="27"/>
          <w:szCs w:val="27"/>
          <w:shd w:val="clear" w:fill="FFFFFF"/>
          <w:lang w:eastAsia="zh-CN"/>
        </w:rPr>
        <w:t>万元，占</w:t>
      </w:r>
      <w:r>
        <w:rPr>
          <w:sz w:val="27"/>
          <w:szCs w:val="27"/>
          <w:shd w:val="clear" w:fill="FFFFFF"/>
          <w:lang w:val="en-US"/>
        </w:rPr>
        <w:t>100%</w:t>
      </w:r>
      <w:r>
        <w:rPr>
          <w:sz w:val="27"/>
          <w:szCs w:val="27"/>
          <w:shd w:val="clear" w:fill="FFFFFF"/>
          <w:lang w:eastAsia="zh-CN"/>
        </w:rPr>
        <w:t>。</w:t>
      </w:r>
    </w:p>
    <w:p>
      <w:pPr>
        <w:pStyle w:val="2"/>
        <w:shd w:val="clear" w:fill="FFFFFF"/>
        <w:rPr>
          <w:sz w:val="27"/>
          <w:szCs w:val="27"/>
          <w:shd w:val="clear" w:fill="FFFFFF"/>
          <w:lang w:val="en-US"/>
        </w:rPr>
      </w:pPr>
      <w:r>
        <w:rPr>
          <w:rStyle w:val="5"/>
          <w:rFonts w:hint="eastAsia" w:ascii="宋体" w:hAnsi="宋体" w:eastAsia="宋体" w:cs="宋体"/>
          <w:sz w:val="27"/>
          <w:szCs w:val="27"/>
          <w:shd w:val="clear" w:fill="FFFFFF"/>
          <w:lang w:val="en-US"/>
        </w:rPr>
        <w:t>  3.</w:t>
      </w:r>
      <w:r>
        <w:rPr>
          <w:rStyle w:val="5"/>
          <w:rFonts w:hint="eastAsia" w:ascii="宋体" w:hAnsi="宋体" w:eastAsia="宋体" w:cs="宋体"/>
          <w:sz w:val="27"/>
          <w:szCs w:val="27"/>
          <w:shd w:val="clear" w:fill="FFFFFF"/>
          <w:lang w:eastAsia="zh-CN"/>
        </w:rPr>
        <w:t>支出情况。</w:t>
      </w:r>
      <w:r>
        <w:rPr>
          <w:sz w:val="27"/>
          <w:szCs w:val="27"/>
          <w:shd w:val="clear" w:fill="FFFFFF"/>
          <w:lang w:val="en-US"/>
        </w:rPr>
        <w:t>2021</w:t>
      </w:r>
      <w:r>
        <w:rPr>
          <w:sz w:val="27"/>
          <w:szCs w:val="27"/>
          <w:shd w:val="clear" w:fill="FFFFFF"/>
          <w:lang w:eastAsia="zh-CN"/>
        </w:rPr>
        <w:t>年度支出合计</w:t>
      </w:r>
      <w:r>
        <w:rPr>
          <w:sz w:val="27"/>
          <w:szCs w:val="27"/>
          <w:shd w:val="clear" w:fill="FFFFFF"/>
          <w:lang w:val="en-US"/>
        </w:rPr>
        <w:t>78.17</w:t>
      </w:r>
      <w:r>
        <w:rPr>
          <w:sz w:val="27"/>
          <w:szCs w:val="27"/>
          <w:shd w:val="clear" w:fill="FFFFFF"/>
          <w:lang w:eastAsia="zh-CN"/>
        </w:rPr>
        <w:t>万元，较上年决算数减少</w:t>
      </w:r>
      <w:r>
        <w:rPr>
          <w:sz w:val="27"/>
          <w:szCs w:val="27"/>
          <w:shd w:val="clear" w:fill="FFFFFF"/>
          <w:lang w:val="en-US"/>
        </w:rPr>
        <w:t>43.12</w:t>
      </w:r>
      <w:r>
        <w:rPr>
          <w:sz w:val="27"/>
          <w:szCs w:val="27"/>
          <w:shd w:val="clear" w:fill="FFFFFF"/>
          <w:lang w:eastAsia="zh-CN"/>
        </w:rPr>
        <w:t>万元，下降</w:t>
      </w:r>
      <w:r>
        <w:rPr>
          <w:sz w:val="27"/>
          <w:szCs w:val="27"/>
          <w:shd w:val="clear" w:fill="FFFFFF"/>
          <w:lang w:val="en-US"/>
        </w:rPr>
        <w:t>35.6%</w:t>
      </w:r>
      <w:r>
        <w:rPr>
          <w:sz w:val="27"/>
          <w:szCs w:val="27"/>
          <w:shd w:val="clear" w:fill="FFFFFF"/>
          <w:lang w:eastAsia="zh-CN"/>
        </w:rPr>
        <w:t>，主要原因是人员调出减少支出。其中：基本支出</w:t>
      </w:r>
      <w:r>
        <w:rPr>
          <w:sz w:val="27"/>
          <w:szCs w:val="27"/>
          <w:shd w:val="clear" w:fill="FFFFFF"/>
          <w:lang w:val="en-US"/>
        </w:rPr>
        <w:t>78.17</w:t>
      </w:r>
      <w:r>
        <w:rPr>
          <w:sz w:val="27"/>
          <w:szCs w:val="27"/>
          <w:shd w:val="clear" w:fill="FFFFFF"/>
          <w:lang w:eastAsia="zh-CN"/>
        </w:rPr>
        <w:t>万元，占</w:t>
      </w:r>
      <w:r>
        <w:rPr>
          <w:sz w:val="27"/>
          <w:szCs w:val="27"/>
          <w:shd w:val="clear" w:fill="FFFFFF"/>
          <w:lang w:val="en-US"/>
        </w:rPr>
        <w:t>100%</w:t>
      </w:r>
      <w:r>
        <w:rPr>
          <w:sz w:val="27"/>
          <w:szCs w:val="27"/>
          <w:shd w:val="clear" w:fill="FFFFFF"/>
          <w:lang w:eastAsia="zh-CN"/>
        </w:rPr>
        <w:t>。</w:t>
      </w:r>
    </w:p>
    <w:p>
      <w:pPr>
        <w:pStyle w:val="2"/>
        <w:shd w:val="clear" w:fill="FFFFFF"/>
      </w:pPr>
      <w:r>
        <w:rPr>
          <w:rStyle w:val="5"/>
          <w:rFonts w:hint="eastAsia" w:ascii="宋体" w:hAnsi="宋体" w:eastAsia="宋体" w:cs="宋体"/>
          <w:sz w:val="27"/>
          <w:szCs w:val="27"/>
          <w:shd w:val="clear" w:fill="FFFFFF"/>
          <w:lang w:val="en-US"/>
        </w:rPr>
        <w:t>  4.</w:t>
      </w:r>
      <w:r>
        <w:rPr>
          <w:rStyle w:val="5"/>
          <w:rFonts w:hint="eastAsia" w:ascii="宋体" w:hAnsi="宋体" w:eastAsia="宋体" w:cs="宋体"/>
          <w:sz w:val="27"/>
          <w:szCs w:val="27"/>
          <w:shd w:val="clear" w:fill="FFFFFF"/>
          <w:lang w:eastAsia="zh-CN"/>
        </w:rPr>
        <w:t>结转结余情况。</w:t>
      </w:r>
      <w:r>
        <w:rPr>
          <w:sz w:val="27"/>
          <w:szCs w:val="27"/>
          <w:shd w:val="clear" w:fill="FFFFFF"/>
          <w:lang w:val="en-US"/>
        </w:rPr>
        <w:t>2021</w:t>
      </w:r>
      <w:r>
        <w:rPr>
          <w:sz w:val="27"/>
          <w:szCs w:val="27"/>
          <w:shd w:val="clear" w:fill="FFFFFF"/>
          <w:lang w:eastAsia="zh-CN"/>
        </w:rPr>
        <w:t>年度年末结转和结余</w:t>
      </w:r>
      <w:r>
        <w:rPr>
          <w:sz w:val="27"/>
          <w:szCs w:val="27"/>
          <w:shd w:val="clear" w:fill="FFFFFF"/>
          <w:lang w:val="en-US"/>
        </w:rPr>
        <w:t>0.00</w:t>
      </w:r>
      <w:r>
        <w:rPr>
          <w:sz w:val="27"/>
          <w:szCs w:val="27"/>
          <w:shd w:val="clear" w:fill="FFFFFF"/>
          <w:lang w:eastAsia="zh-CN"/>
        </w:rPr>
        <w:t>万元，较上年决算数增加</w:t>
      </w:r>
      <w:r>
        <w:rPr>
          <w:sz w:val="27"/>
          <w:szCs w:val="27"/>
          <w:shd w:val="clear" w:fill="FFFFFF"/>
          <w:lang w:val="en-US"/>
        </w:rPr>
        <w:t>0.00</w:t>
      </w:r>
      <w:r>
        <w:rPr>
          <w:sz w:val="27"/>
          <w:szCs w:val="27"/>
          <w:shd w:val="clear" w:fill="FFFFFF"/>
          <w:lang w:eastAsia="zh-CN"/>
        </w:rPr>
        <w:t>万元，增长</w:t>
      </w:r>
      <w:r>
        <w:rPr>
          <w:sz w:val="27"/>
          <w:szCs w:val="27"/>
          <w:shd w:val="clear" w:fill="FFFFFF"/>
          <w:lang w:val="en-US"/>
        </w:rPr>
        <w:t>%</w:t>
      </w:r>
      <w:r>
        <w:rPr>
          <w:sz w:val="27"/>
          <w:szCs w:val="27"/>
          <w:shd w:val="clear" w:fill="FFFFFF"/>
          <w:lang w:eastAsia="zh-CN"/>
        </w:rPr>
        <w:t>，主要原因是收支平衡。</w:t>
      </w:r>
    </w:p>
    <w:p>
      <w:pPr>
        <w:pStyle w:val="2"/>
        <w:shd w:val="clear" w:fill="FFFFFF"/>
        <w:outlineLvl w:val="0"/>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（二）财政拨款收入支出决算总体情况说明。</w:t>
      </w:r>
    </w:p>
    <w:p>
      <w:pPr>
        <w:pStyle w:val="2"/>
        <w:shd w:val="clear" w:fill="FFFFFF"/>
      </w:pPr>
      <w:r>
        <w:rPr>
          <w:sz w:val="27"/>
          <w:szCs w:val="27"/>
          <w:shd w:val="clear" w:fill="FFFFFF"/>
          <w:lang w:val="en-US"/>
        </w:rPr>
        <w:t xml:space="preserve">    2021</w:t>
      </w:r>
      <w:r>
        <w:rPr>
          <w:sz w:val="27"/>
          <w:szCs w:val="27"/>
          <w:shd w:val="clear" w:fill="FFFFFF"/>
          <w:lang w:eastAsia="zh-CN"/>
        </w:rPr>
        <w:t>年度财政拨款收、支总计</w:t>
      </w:r>
      <w:r>
        <w:rPr>
          <w:sz w:val="27"/>
          <w:szCs w:val="27"/>
          <w:shd w:val="clear" w:fill="FFFFFF"/>
          <w:lang w:val="en-US"/>
        </w:rPr>
        <w:t>78.17</w:t>
      </w:r>
      <w:r>
        <w:rPr>
          <w:sz w:val="27"/>
          <w:szCs w:val="27"/>
          <w:shd w:val="clear" w:fill="FFFFFF"/>
          <w:lang w:eastAsia="zh-CN"/>
        </w:rPr>
        <w:t>万元。与</w:t>
      </w:r>
      <w:r>
        <w:rPr>
          <w:sz w:val="27"/>
          <w:szCs w:val="27"/>
          <w:shd w:val="clear" w:fill="FFFFFF"/>
          <w:lang w:val="en-US"/>
        </w:rPr>
        <w:t>2020</w:t>
      </w:r>
      <w:r>
        <w:rPr>
          <w:sz w:val="27"/>
          <w:szCs w:val="27"/>
          <w:shd w:val="clear" w:fill="FFFFFF"/>
          <w:lang w:eastAsia="zh-CN"/>
        </w:rPr>
        <w:t>年相比，财政拨款收、支总计各减少</w:t>
      </w:r>
      <w:r>
        <w:rPr>
          <w:sz w:val="27"/>
          <w:szCs w:val="27"/>
          <w:shd w:val="clear" w:fill="FFFFFF"/>
          <w:lang w:val="en-US"/>
        </w:rPr>
        <w:t>43.12</w:t>
      </w:r>
      <w:r>
        <w:rPr>
          <w:sz w:val="27"/>
          <w:szCs w:val="27"/>
          <w:shd w:val="clear" w:fill="FFFFFF"/>
          <w:lang w:eastAsia="zh-CN"/>
        </w:rPr>
        <w:t>万元，下降</w:t>
      </w:r>
      <w:r>
        <w:rPr>
          <w:sz w:val="27"/>
          <w:szCs w:val="27"/>
          <w:shd w:val="clear" w:fill="FFFFFF"/>
          <w:lang w:val="en-US"/>
        </w:rPr>
        <w:t>35.6%</w:t>
      </w:r>
      <w:r>
        <w:rPr>
          <w:sz w:val="27"/>
          <w:szCs w:val="27"/>
          <w:shd w:val="clear" w:fill="FFFFFF"/>
          <w:lang w:eastAsia="zh-CN"/>
        </w:rPr>
        <w:t>。主要原因是人员调出减少收支。</w:t>
      </w:r>
    </w:p>
    <w:p>
      <w:pPr>
        <w:pStyle w:val="2"/>
        <w:shd w:val="clear" w:fill="FFFFFF"/>
        <w:outlineLvl w:val="0"/>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（三）一般公共预算财政拨款收入支出决算情况说明。</w:t>
      </w:r>
    </w:p>
    <w:p>
      <w:pPr>
        <w:pStyle w:val="2"/>
        <w:shd w:val="clear" w:fill="FFFFFF"/>
      </w:pPr>
      <w:r>
        <w:rPr>
          <w:rStyle w:val="5"/>
          <w:rFonts w:hint="eastAsia" w:ascii="宋体" w:hAnsi="宋体" w:eastAsia="宋体" w:cs="宋体"/>
          <w:sz w:val="27"/>
          <w:szCs w:val="27"/>
          <w:shd w:val="clear" w:fill="FFFFFF"/>
          <w:lang w:val="en-US"/>
        </w:rPr>
        <w:t>  1.</w:t>
      </w:r>
      <w:r>
        <w:rPr>
          <w:rStyle w:val="5"/>
          <w:rFonts w:hint="eastAsia" w:ascii="宋体" w:hAnsi="宋体" w:eastAsia="宋体" w:cs="宋体"/>
          <w:sz w:val="27"/>
          <w:szCs w:val="27"/>
          <w:shd w:val="clear" w:fill="FFFFFF"/>
          <w:lang w:eastAsia="zh-CN"/>
        </w:rPr>
        <w:t>收入情况。</w:t>
      </w:r>
      <w:r>
        <w:rPr>
          <w:sz w:val="27"/>
          <w:szCs w:val="27"/>
          <w:shd w:val="clear" w:fill="FFFFFF"/>
          <w:lang w:val="en-US"/>
        </w:rPr>
        <w:t>2021</w:t>
      </w:r>
      <w:r>
        <w:rPr>
          <w:sz w:val="27"/>
          <w:szCs w:val="27"/>
          <w:shd w:val="clear" w:fill="FFFFFF"/>
          <w:lang w:eastAsia="zh-CN"/>
        </w:rPr>
        <w:t>年度一般公共预算财政拨款收入</w:t>
      </w:r>
      <w:r>
        <w:rPr>
          <w:sz w:val="27"/>
          <w:szCs w:val="27"/>
          <w:shd w:val="clear" w:fill="FFFFFF"/>
          <w:lang w:val="en-US"/>
        </w:rPr>
        <w:t>78.17</w:t>
      </w:r>
      <w:r>
        <w:rPr>
          <w:sz w:val="27"/>
          <w:szCs w:val="27"/>
          <w:shd w:val="clear" w:fill="FFFFFF"/>
          <w:lang w:eastAsia="zh-CN"/>
        </w:rPr>
        <w:t>万元，较上年决算数减少</w:t>
      </w:r>
      <w:r>
        <w:rPr>
          <w:sz w:val="27"/>
          <w:szCs w:val="27"/>
          <w:shd w:val="clear" w:fill="FFFFFF"/>
          <w:lang w:val="en-US"/>
        </w:rPr>
        <w:t>43.12</w:t>
      </w:r>
      <w:r>
        <w:rPr>
          <w:sz w:val="27"/>
          <w:szCs w:val="27"/>
          <w:shd w:val="clear" w:fill="FFFFFF"/>
          <w:lang w:eastAsia="zh-CN"/>
        </w:rPr>
        <w:t>万元，下降</w:t>
      </w:r>
      <w:r>
        <w:rPr>
          <w:sz w:val="27"/>
          <w:szCs w:val="27"/>
          <w:shd w:val="clear" w:fill="FFFFFF"/>
          <w:lang w:val="en-US"/>
        </w:rPr>
        <w:t>35.6%</w:t>
      </w:r>
      <w:r>
        <w:rPr>
          <w:sz w:val="27"/>
          <w:szCs w:val="27"/>
          <w:shd w:val="clear" w:fill="FFFFFF"/>
          <w:lang w:eastAsia="zh-CN"/>
        </w:rPr>
        <w:t>。主要原因是人员调出减少支出。较年初预算数增加</w:t>
      </w:r>
      <w:r>
        <w:rPr>
          <w:sz w:val="27"/>
          <w:szCs w:val="27"/>
          <w:shd w:val="clear" w:fill="FFFFFF"/>
          <w:lang w:val="en-US"/>
        </w:rPr>
        <w:t>0.31</w:t>
      </w:r>
      <w:r>
        <w:rPr>
          <w:sz w:val="27"/>
          <w:szCs w:val="27"/>
          <w:shd w:val="clear" w:fill="FFFFFF"/>
          <w:lang w:eastAsia="zh-CN"/>
        </w:rPr>
        <w:t>万元，增长</w:t>
      </w:r>
      <w:r>
        <w:rPr>
          <w:sz w:val="27"/>
          <w:szCs w:val="27"/>
          <w:shd w:val="clear" w:fill="FFFFFF"/>
          <w:lang w:val="en-US"/>
        </w:rPr>
        <w:t>0.4%</w:t>
      </w:r>
      <w:r>
        <w:rPr>
          <w:sz w:val="27"/>
          <w:szCs w:val="27"/>
          <w:shd w:val="clear" w:fill="FFFFFF"/>
          <w:lang w:eastAsia="zh-CN"/>
        </w:rPr>
        <w:t>。主要原因是人员支出增加。此外，年初财政拨款结转和结余</w:t>
      </w:r>
      <w:r>
        <w:rPr>
          <w:sz w:val="27"/>
          <w:szCs w:val="27"/>
          <w:shd w:val="clear" w:fill="FFFFFF"/>
          <w:lang w:val="en-US"/>
        </w:rPr>
        <w:t>0.00</w:t>
      </w:r>
      <w:r>
        <w:rPr>
          <w:sz w:val="27"/>
          <w:szCs w:val="27"/>
          <w:shd w:val="clear" w:fill="FFFFFF"/>
          <w:lang w:eastAsia="zh-CN"/>
        </w:rPr>
        <w:t>万元。</w:t>
      </w:r>
    </w:p>
    <w:p>
      <w:pPr>
        <w:pStyle w:val="2"/>
        <w:shd w:val="clear" w:fill="FFFFFF"/>
        <w:rPr>
          <w:sz w:val="27"/>
          <w:szCs w:val="27"/>
          <w:shd w:val="clear" w:fill="FFFFFF"/>
          <w:lang w:val="en-US"/>
        </w:rPr>
      </w:pPr>
      <w:r>
        <w:rPr>
          <w:rStyle w:val="5"/>
          <w:rFonts w:hint="eastAsia" w:ascii="宋体" w:hAnsi="宋体" w:eastAsia="宋体" w:cs="宋体"/>
          <w:sz w:val="27"/>
          <w:szCs w:val="27"/>
          <w:shd w:val="clear" w:fill="FFFFFF"/>
          <w:lang w:val="en-US"/>
        </w:rPr>
        <w:t>  2.</w:t>
      </w:r>
      <w:r>
        <w:rPr>
          <w:rStyle w:val="5"/>
          <w:rFonts w:hint="eastAsia" w:ascii="宋体" w:hAnsi="宋体" w:eastAsia="宋体" w:cs="宋体"/>
          <w:sz w:val="27"/>
          <w:szCs w:val="27"/>
          <w:shd w:val="clear" w:fill="FFFFFF"/>
          <w:lang w:eastAsia="zh-CN"/>
        </w:rPr>
        <w:t>支出情况。</w:t>
      </w:r>
      <w:r>
        <w:rPr>
          <w:sz w:val="27"/>
          <w:szCs w:val="27"/>
          <w:shd w:val="clear" w:fill="FFFFFF"/>
          <w:lang w:val="en-US"/>
        </w:rPr>
        <w:t>2021</w:t>
      </w:r>
      <w:r>
        <w:rPr>
          <w:sz w:val="27"/>
          <w:szCs w:val="27"/>
          <w:shd w:val="clear" w:fill="FFFFFF"/>
          <w:lang w:eastAsia="zh-CN"/>
        </w:rPr>
        <w:t>年度一般公共预算财政拨款支出</w:t>
      </w:r>
      <w:r>
        <w:rPr>
          <w:sz w:val="27"/>
          <w:szCs w:val="27"/>
          <w:shd w:val="clear" w:fill="FFFFFF"/>
          <w:lang w:val="en-US"/>
        </w:rPr>
        <w:t>78.17</w:t>
      </w:r>
      <w:r>
        <w:rPr>
          <w:sz w:val="27"/>
          <w:szCs w:val="27"/>
          <w:shd w:val="clear" w:fill="FFFFFF"/>
          <w:lang w:eastAsia="zh-CN"/>
        </w:rPr>
        <w:t>万元，较上年决算数减少</w:t>
      </w:r>
      <w:r>
        <w:rPr>
          <w:sz w:val="27"/>
          <w:szCs w:val="27"/>
          <w:shd w:val="clear" w:fill="FFFFFF"/>
          <w:lang w:val="en-US"/>
        </w:rPr>
        <w:t>43.12</w:t>
      </w:r>
      <w:r>
        <w:rPr>
          <w:sz w:val="27"/>
          <w:szCs w:val="27"/>
          <w:shd w:val="clear" w:fill="FFFFFF"/>
          <w:lang w:eastAsia="zh-CN"/>
        </w:rPr>
        <w:t>万元，下降</w:t>
      </w:r>
      <w:r>
        <w:rPr>
          <w:sz w:val="27"/>
          <w:szCs w:val="27"/>
          <w:shd w:val="clear" w:fill="FFFFFF"/>
          <w:lang w:val="en-US"/>
        </w:rPr>
        <w:t>35.6%</w:t>
      </w:r>
      <w:r>
        <w:rPr>
          <w:sz w:val="27"/>
          <w:szCs w:val="27"/>
          <w:shd w:val="clear" w:fill="FFFFFF"/>
          <w:lang w:eastAsia="zh-CN"/>
        </w:rPr>
        <w:t>。主要原因是人员调出减少支出。较年初预算数增加</w:t>
      </w:r>
      <w:r>
        <w:rPr>
          <w:sz w:val="27"/>
          <w:szCs w:val="27"/>
          <w:shd w:val="clear" w:fill="FFFFFF"/>
          <w:lang w:val="en-US"/>
        </w:rPr>
        <w:t>0.31</w:t>
      </w:r>
      <w:r>
        <w:rPr>
          <w:sz w:val="27"/>
          <w:szCs w:val="27"/>
          <w:shd w:val="clear" w:fill="FFFFFF"/>
          <w:lang w:eastAsia="zh-CN"/>
        </w:rPr>
        <w:t>万元，增长</w:t>
      </w:r>
      <w:r>
        <w:rPr>
          <w:sz w:val="27"/>
          <w:szCs w:val="27"/>
          <w:shd w:val="clear" w:fill="FFFFFF"/>
          <w:lang w:val="en-US"/>
        </w:rPr>
        <w:t>0.4%</w:t>
      </w:r>
      <w:r>
        <w:rPr>
          <w:sz w:val="27"/>
          <w:szCs w:val="27"/>
          <w:shd w:val="clear" w:fill="FFFFFF"/>
          <w:lang w:eastAsia="zh-CN"/>
        </w:rPr>
        <w:t>。主要原因是人员支出增加。</w:t>
      </w:r>
    </w:p>
    <w:p>
      <w:pPr>
        <w:pStyle w:val="2"/>
        <w:shd w:val="clear" w:fill="FFFFFF"/>
      </w:pPr>
      <w:r>
        <w:rPr>
          <w:rStyle w:val="5"/>
          <w:rFonts w:hint="eastAsia" w:ascii="宋体" w:hAnsi="宋体" w:eastAsia="宋体" w:cs="宋体"/>
          <w:sz w:val="27"/>
          <w:szCs w:val="27"/>
          <w:shd w:val="clear" w:fill="FFFFFF"/>
          <w:lang w:val="en-US"/>
        </w:rPr>
        <w:t>  3.</w:t>
      </w:r>
      <w:r>
        <w:rPr>
          <w:rStyle w:val="5"/>
          <w:rFonts w:hint="eastAsia" w:ascii="宋体" w:hAnsi="宋体" w:eastAsia="宋体" w:cs="宋体"/>
          <w:sz w:val="27"/>
          <w:szCs w:val="27"/>
          <w:shd w:val="clear" w:fill="FFFFFF"/>
          <w:lang w:eastAsia="zh-CN"/>
        </w:rPr>
        <w:t>结转结余情况。</w:t>
      </w:r>
      <w:r>
        <w:rPr>
          <w:sz w:val="27"/>
          <w:szCs w:val="27"/>
          <w:shd w:val="clear" w:fill="FFFFFF"/>
          <w:lang w:val="en-US"/>
        </w:rPr>
        <w:t>2021</w:t>
      </w:r>
      <w:r>
        <w:rPr>
          <w:sz w:val="27"/>
          <w:szCs w:val="27"/>
          <w:shd w:val="clear" w:fill="FFFFFF"/>
          <w:lang w:eastAsia="zh-CN"/>
        </w:rPr>
        <w:t>年度年末一般公共预算财政拨款结转和结余</w:t>
      </w:r>
      <w:r>
        <w:rPr>
          <w:sz w:val="27"/>
          <w:szCs w:val="27"/>
          <w:shd w:val="clear" w:fill="FFFFFF"/>
          <w:lang w:val="en-US"/>
        </w:rPr>
        <w:t>0.00</w:t>
      </w:r>
      <w:r>
        <w:rPr>
          <w:sz w:val="27"/>
          <w:szCs w:val="27"/>
          <w:shd w:val="clear" w:fill="FFFFFF"/>
          <w:lang w:eastAsia="zh-CN"/>
        </w:rPr>
        <w:t>万元，较上年决算数增加</w:t>
      </w:r>
      <w:r>
        <w:rPr>
          <w:sz w:val="27"/>
          <w:szCs w:val="27"/>
          <w:shd w:val="clear" w:fill="FFFFFF"/>
          <w:lang w:val="en-US"/>
        </w:rPr>
        <w:t>0.00</w:t>
      </w:r>
      <w:r>
        <w:rPr>
          <w:sz w:val="27"/>
          <w:szCs w:val="27"/>
          <w:shd w:val="clear" w:fill="FFFFFF"/>
          <w:lang w:eastAsia="zh-CN"/>
        </w:rPr>
        <w:t>万元，增长</w:t>
      </w:r>
      <w:r>
        <w:rPr>
          <w:sz w:val="27"/>
          <w:szCs w:val="27"/>
          <w:shd w:val="clear" w:fill="FFFFFF"/>
          <w:lang w:val="en-US"/>
        </w:rPr>
        <w:t>%</w:t>
      </w:r>
      <w:r>
        <w:rPr>
          <w:sz w:val="27"/>
          <w:szCs w:val="27"/>
          <w:shd w:val="clear" w:fill="FFFFFF"/>
          <w:lang w:eastAsia="zh-CN"/>
        </w:rPr>
        <w:t>，主要原因是收支平衡。</w:t>
      </w:r>
    </w:p>
    <w:p>
      <w:pPr>
        <w:pStyle w:val="2"/>
        <w:shd w:val="clear" w:fill="FFFFFF"/>
        <w:rPr>
          <w:sz w:val="27"/>
          <w:szCs w:val="27"/>
          <w:shd w:val="clear" w:fill="FFFFFF"/>
          <w:lang w:val="en-US"/>
        </w:rPr>
      </w:pPr>
      <w:r>
        <w:rPr>
          <w:rStyle w:val="5"/>
          <w:rFonts w:hint="eastAsia" w:ascii="宋体" w:hAnsi="宋体" w:eastAsia="宋体" w:cs="宋体"/>
          <w:sz w:val="27"/>
          <w:szCs w:val="27"/>
          <w:shd w:val="clear" w:fill="FFFFFF"/>
          <w:lang w:val="en-US"/>
        </w:rPr>
        <w:t>  4.</w:t>
      </w:r>
      <w:r>
        <w:rPr>
          <w:rStyle w:val="5"/>
          <w:rFonts w:hint="eastAsia" w:ascii="宋体" w:hAnsi="宋体" w:eastAsia="宋体" w:cs="宋体"/>
          <w:sz w:val="27"/>
          <w:szCs w:val="27"/>
          <w:shd w:val="clear" w:fill="FFFFFF"/>
          <w:lang w:eastAsia="zh-CN"/>
        </w:rPr>
        <w:t>比较情况。</w:t>
      </w:r>
      <w:r>
        <w:rPr>
          <w:sz w:val="27"/>
          <w:szCs w:val="27"/>
          <w:shd w:val="clear" w:fill="FFFFFF"/>
          <w:lang w:eastAsia="zh-CN"/>
        </w:rPr>
        <w:t>本部门</w:t>
      </w:r>
      <w:r>
        <w:rPr>
          <w:sz w:val="27"/>
          <w:szCs w:val="27"/>
          <w:shd w:val="clear" w:fill="FFFFFF"/>
          <w:lang w:val="en-US"/>
        </w:rPr>
        <w:t>2021</w:t>
      </w:r>
      <w:r>
        <w:rPr>
          <w:sz w:val="27"/>
          <w:szCs w:val="27"/>
          <w:shd w:val="clear" w:fill="FFFFFF"/>
          <w:lang w:eastAsia="zh-CN"/>
        </w:rPr>
        <w:t>年度一般公共预算财政拨款支出主要用于以下几个方面：</w:t>
      </w:r>
    </w:p>
    <w:p>
      <w:pPr>
        <w:pStyle w:val="2"/>
        <w:shd w:val="clear" w:fill="FFFFFF"/>
      </w:pPr>
      <w:r>
        <w:rPr>
          <w:sz w:val="27"/>
          <w:szCs w:val="27"/>
          <w:shd w:val="clear" w:fill="FFFFFF"/>
          <w:lang w:val="en-US"/>
        </w:rPr>
        <w:t xml:space="preserve">  </w:t>
      </w:r>
      <w:r>
        <w:rPr>
          <w:sz w:val="27"/>
          <w:szCs w:val="27"/>
          <w:shd w:val="clear" w:fill="FFFFFF"/>
          <w:lang w:eastAsia="zh-CN"/>
        </w:rPr>
        <w:t>（</w:t>
      </w:r>
      <w:r>
        <w:rPr>
          <w:sz w:val="27"/>
          <w:szCs w:val="27"/>
          <w:shd w:val="clear" w:fill="FFFFFF"/>
          <w:lang w:val="en-US"/>
        </w:rPr>
        <w:t>1</w:t>
      </w:r>
      <w:r>
        <w:rPr>
          <w:sz w:val="27"/>
          <w:szCs w:val="27"/>
          <w:shd w:val="clear" w:fill="FFFFFF"/>
          <w:lang w:eastAsia="zh-CN"/>
        </w:rPr>
        <w:t>）教育支出</w:t>
      </w:r>
      <w:r>
        <w:rPr>
          <w:sz w:val="27"/>
          <w:szCs w:val="27"/>
          <w:shd w:val="clear" w:fill="FFFFFF"/>
          <w:lang w:val="en-US"/>
        </w:rPr>
        <w:t>0.23</w:t>
      </w:r>
      <w:r>
        <w:rPr>
          <w:sz w:val="27"/>
          <w:szCs w:val="27"/>
          <w:shd w:val="clear" w:fill="FFFFFF"/>
          <w:lang w:eastAsia="zh-CN"/>
        </w:rPr>
        <w:t>万元，占</w:t>
      </w:r>
      <w:r>
        <w:rPr>
          <w:sz w:val="27"/>
          <w:szCs w:val="27"/>
          <w:shd w:val="clear" w:fill="FFFFFF"/>
          <w:lang w:val="en-US"/>
        </w:rPr>
        <w:t>0.3%</w:t>
      </w:r>
      <w:r>
        <w:rPr>
          <w:sz w:val="27"/>
          <w:szCs w:val="27"/>
          <w:shd w:val="clear" w:fill="FFFFFF"/>
          <w:lang w:eastAsia="zh-CN"/>
        </w:rPr>
        <w:t>，较年初预算数增加</w:t>
      </w:r>
      <w:r>
        <w:rPr>
          <w:sz w:val="27"/>
          <w:szCs w:val="27"/>
          <w:shd w:val="clear" w:fill="FFFFFF"/>
          <w:lang w:val="en-US"/>
        </w:rPr>
        <w:t>0.00</w:t>
      </w:r>
      <w:r>
        <w:rPr>
          <w:sz w:val="27"/>
          <w:szCs w:val="27"/>
          <w:shd w:val="clear" w:fill="FFFFFF"/>
          <w:lang w:eastAsia="zh-CN"/>
        </w:rPr>
        <w:t>万元，增长</w:t>
      </w:r>
      <w:r>
        <w:rPr>
          <w:sz w:val="27"/>
          <w:szCs w:val="27"/>
          <w:shd w:val="clear" w:fill="FFFFFF"/>
          <w:lang w:val="en-US"/>
        </w:rPr>
        <w:t>0%</w:t>
      </w:r>
      <w:r>
        <w:rPr>
          <w:sz w:val="27"/>
          <w:szCs w:val="27"/>
          <w:shd w:val="clear" w:fill="FFFFFF"/>
          <w:lang w:eastAsia="zh-CN"/>
        </w:rPr>
        <w:t>，主要原因是无支出预算调整。</w:t>
      </w:r>
    </w:p>
    <w:p>
      <w:pPr>
        <w:pStyle w:val="2"/>
        <w:shd w:val="clear" w:fill="FFFFFF"/>
      </w:pPr>
      <w:r>
        <w:rPr>
          <w:sz w:val="27"/>
          <w:szCs w:val="27"/>
          <w:shd w:val="clear" w:fill="FFFFFF"/>
          <w:lang w:val="en-US"/>
        </w:rPr>
        <w:t xml:space="preserve">  </w:t>
      </w:r>
      <w:r>
        <w:rPr>
          <w:sz w:val="27"/>
          <w:szCs w:val="27"/>
          <w:shd w:val="clear" w:fill="FFFFFF"/>
          <w:lang w:eastAsia="zh-CN"/>
        </w:rPr>
        <w:t>（</w:t>
      </w:r>
      <w:r>
        <w:rPr>
          <w:sz w:val="27"/>
          <w:szCs w:val="27"/>
          <w:shd w:val="clear" w:fill="FFFFFF"/>
          <w:lang w:val="en-US"/>
        </w:rPr>
        <w:t>2</w:t>
      </w:r>
      <w:r>
        <w:rPr>
          <w:sz w:val="27"/>
          <w:szCs w:val="27"/>
          <w:shd w:val="clear" w:fill="FFFFFF"/>
          <w:lang w:eastAsia="zh-CN"/>
        </w:rPr>
        <w:t>）社会保障与就业支出</w:t>
      </w:r>
      <w:r>
        <w:rPr>
          <w:sz w:val="27"/>
          <w:szCs w:val="27"/>
          <w:shd w:val="clear" w:fill="FFFFFF"/>
          <w:lang w:val="en-US"/>
        </w:rPr>
        <w:t>9.35</w:t>
      </w:r>
      <w:r>
        <w:rPr>
          <w:sz w:val="27"/>
          <w:szCs w:val="27"/>
          <w:shd w:val="clear" w:fill="FFFFFF"/>
          <w:lang w:eastAsia="zh-CN"/>
        </w:rPr>
        <w:t>万元，占</w:t>
      </w:r>
      <w:r>
        <w:rPr>
          <w:sz w:val="27"/>
          <w:szCs w:val="27"/>
          <w:shd w:val="clear" w:fill="FFFFFF"/>
          <w:lang w:val="en-US"/>
        </w:rPr>
        <w:t>12%</w:t>
      </w:r>
      <w:r>
        <w:rPr>
          <w:sz w:val="27"/>
          <w:szCs w:val="27"/>
          <w:shd w:val="clear" w:fill="FFFFFF"/>
          <w:lang w:eastAsia="zh-CN"/>
        </w:rPr>
        <w:t>，较年初预算数增加</w:t>
      </w:r>
      <w:r>
        <w:rPr>
          <w:sz w:val="27"/>
          <w:szCs w:val="27"/>
          <w:shd w:val="clear" w:fill="FFFFFF"/>
          <w:lang w:val="en-US"/>
        </w:rPr>
        <w:t>2.23</w:t>
      </w:r>
      <w:r>
        <w:rPr>
          <w:sz w:val="27"/>
          <w:szCs w:val="27"/>
          <w:shd w:val="clear" w:fill="FFFFFF"/>
          <w:lang w:eastAsia="zh-CN"/>
        </w:rPr>
        <w:t>万元，增长</w:t>
      </w:r>
      <w:r>
        <w:rPr>
          <w:sz w:val="27"/>
          <w:szCs w:val="27"/>
          <w:shd w:val="clear" w:fill="FFFFFF"/>
          <w:lang w:val="en-US"/>
        </w:rPr>
        <w:t>31.3%</w:t>
      </w:r>
      <w:r>
        <w:rPr>
          <w:sz w:val="27"/>
          <w:szCs w:val="27"/>
          <w:shd w:val="clear" w:fill="FFFFFF"/>
          <w:lang w:eastAsia="zh-CN"/>
        </w:rPr>
        <w:t>，主要原因是社保缴费增加。</w:t>
      </w:r>
    </w:p>
    <w:p>
      <w:pPr>
        <w:pStyle w:val="2"/>
        <w:shd w:val="clear" w:fill="FFFFFF"/>
      </w:pPr>
      <w:r>
        <w:rPr>
          <w:sz w:val="27"/>
          <w:szCs w:val="27"/>
          <w:shd w:val="clear" w:fill="FFFFFF"/>
          <w:lang w:val="en-US"/>
        </w:rPr>
        <w:t xml:space="preserve">  </w:t>
      </w:r>
      <w:r>
        <w:rPr>
          <w:sz w:val="27"/>
          <w:szCs w:val="27"/>
          <w:shd w:val="clear" w:fill="FFFFFF"/>
          <w:lang w:eastAsia="zh-CN"/>
        </w:rPr>
        <w:t>（</w:t>
      </w:r>
      <w:r>
        <w:rPr>
          <w:sz w:val="27"/>
          <w:szCs w:val="27"/>
          <w:shd w:val="clear" w:fill="FFFFFF"/>
          <w:lang w:val="en-US"/>
        </w:rPr>
        <w:t>3</w:t>
      </w:r>
      <w:r>
        <w:rPr>
          <w:sz w:val="27"/>
          <w:szCs w:val="27"/>
          <w:shd w:val="clear" w:fill="FFFFFF"/>
          <w:lang w:eastAsia="zh-CN"/>
        </w:rPr>
        <w:t>）卫生健康支出</w:t>
      </w:r>
      <w:r>
        <w:rPr>
          <w:sz w:val="27"/>
          <w:szCs w:val="27"/>
          <w:shd w:val="clear" w:fill="FFFFFF"/>
          <w:lang w:val="en-US"/>
        </w:rPr>
        <w:t>2.64</w:t>
      </w:r>
      <w:r>
        <w:rPr>
          <w:sz w:val="27"/>
          <w:szCs w:val="27"/>
          <w:shd w:val="clear" w:fill="FFFFFF"/>
          <w:lang w:eastAsia="zh-CN"/>
        </w:rPr>
        <w:t>万元，占</w:t>
      </w:r>
      <w:r>
        <w:rPr>
          <w:sz w:val="27"/>
          <w:szCs w:val="27"/>
          <w:shd w:val="clear" w:fill="FFFFFF"/>
          <w:lang w:val="en-US"/>
        </w:rPr>
        <w:t>3.4%</w:t>
      </w:r>
      <w:r>
        <w:rPr>
          <w:sz w:val="27"/>
          <w:szCs w:val="27"/>
          <w:shd w:val="clear" w:fill="FFFFFF"/>
          <w:lang w:eastAsia="zh-CN"/>
        </w:rPr>
        <w:t>，较年初预算数增加</w:t>
      </w:r>
      <w:r>
        <w:rPr>
          <w:sz w:val="27"/>
          <w:szCs w:val="27"/>
          <w:shd w:val="clear" w:fill="FFFFFF"/>
          <w:lang w:val="en-US"/>
        </w:rPr>
        <w:t>0.00</w:t>
      </w:r>
      <w:r>
        <w:rPr>
          <w:sz w:val="27"/>
          <w:szCs w:val="27"/>
          <w:shd w:val="clear" w:fill="FFFFFF"/>
          <w:lang w:eastAsia="zh-CN"/>
        </w:rPr>
        <w:t>万元，增长</w:t>
      </w:r>
      <w:r>
        <w:rPr>
          <w:sz w:val="27"/>
          <w:szCs w:val="27"/>
          <w:shd w:val="clear" w:fill="FFFFFF"/>
          <w:lang w:val="en-US"/>
        </w:rPr>
        <w:t>0%</w:t>
      </w:r>
      <w:r>
        <w:rPr>
          <w:sz w:val="27"/>
          <w:szCs w:val="27"/>
          <w:shd w:val="clear" w:fill="FFFFFF"/>
          <w:lang w:eastAsia="zh-CN"/>
        </w:rPr>
        <w:t>，主要原因是无支出预算调整。</w:t>
      </w:r>
    </w:p>
    <w:p>
      <w:pPr>
        <w:pStyle w:val="2"/>
        <w:shd w:val="clear" w:fill="FFFFFF"/>
      </w:pPr>
      <w:r>
        <w:rPr>
          <w:sz w:val="27"/>
          <w:szCs w:val="27"/>
          <w:shd w:val="clear" w:fill="FFFFFF"/>
          <w:lang w:val="en-US"/>
        </w:rPr>
        <w:t xml:space="preserve">  </w:t>
      </w:r>
      <w:r>
        <w:rPr>
          <w:sz w:val="27"/>
          <w:szCs w:val="27"/>
          <w:shd w:val="clear" w:fill="FFFFFF"/>
          <w:lang w:eastAsia="zh-CN"/>
        </w:rPr>
        <w:t>（</w:t>
      </w:r>
      <w:r>
        <w:rPr>
          <w:sz w:val="27"/>
          <w:szCs w:val="27"/>
          <w:shd w:val="clear" w:fill="FFFFFF"/>
          <w:lang w:val="en-US"/>
        </w:rPr>
        <w:t>4</w:t>
      </w:r>
      <w:r>
        <w:rPr>
          <w:sz w:val="27"/>
          <w:szCs w:val="27"/>
          <w:shd w:val="clear" w:fill="FFFFFF"/>
          <w:lang w:eastAsia="zh-CN"/>
        </w:rPr>
        <w:t>）城乡社区支出</w:t>
      </w:r>
      <w:r>
        <w:rPr>
          <w:sz w:val="27"/>
          <w:szCs w:val="27"/>
          <w:shd w:val="clear" w:fill="FFFFFF"/>
          <w:lang w:val="en-US"/>
        </w:rPr>
        <w:t>62.22</w:t>
      </w:r>
      <w:r>
        <w:rPr>
          <w:sz w:val="27"/>
          <w:szCs w:val="27"/>
          <w:shd w:val="clear" w:fill="FFFFFF"/>
          <w:lang w:eastAsia="zh-CN"/>
        </w:rPr>
        <w:t>万元，占</w:t>
      </w:r>
      <w:r>
        <w:rPr>
          <w:sz w:val="27"/>
          <w:szCs w:val="27"/>
          <w:shd w:val="clear" w:fill="FFFFFF"/>
          <w:lang w:val="en-US"/>
        </w:rPr>
        <w:t>79.6%</w:t>
      </w:r>
      <w:r>
        <w:rPr>
          <w:sz w:val="27"/>
          <w:szCs w:val="27"/>
          <w:shd w:val="clear" w:fill="FFFFFF"/>
          <w:lang w:eastAsia="zh-CN"/>
        </w:rPr>
        <w:t>，较年初预算数减少</w:t>
      </w:r>
      <w:r>
        <w:rPr>
          <w:sz w:val="27"/>
          <w:szCs w:val="27"/>
          <w:shd w:val="clear" w:fill="FFFFFF"/>
          <w:lang w:val="en-US"/>
        </w:rPr>
        <w:t>1.93</w:t>
      </w:r>
      <w:r>
        <w:rPr>
          <w:sz w:val="27"/>
          <w:szCs w:val="27"/>
          <w:shd w:val="clear" w:fill="FFFFFF"/>
          <w:lang w:eastAsia="zh-CN"/>
        </w:rPr>
        <w:t>万元，下降</w:t>
      </w:r>
      <w:r>
        <w:rPr>
          <w:sz w:val="27"/>
          <w:szCs w:val="27"/>
          <w:shd w:val="clear" w:fill="FFFFFF"/>
          <w:lang w:val="en-US"/>
        </w:rPr>
        <w:t>3.01%</w:t>
      </w:r>
      <w:r>
        <w:rPr>
          <w:sz w:val="27"/>
          <w:szCs w:val="27"/>
          <w:shd w:val="clear" w:fill="FFFFFF"/>
          <w:lang w:eastAsia="zh-CN"/>
        </w:rPr>
        <w:t>，主要原因是人员支出减少。</w:t>
      </w:r>
    </w:p>
    <w:p>
      <w:pPr>
        <w:pStyle w:val="2"/>
        <w:shd w:val="clear" w:fill="FFFFFF"/>
      </w:pPr>
      <w:r>
        <w:rPr>
          <w:sz w:val="27"/>
          <w:szCs w:val="27"/>
          <w:shd w:val="clear" w:fill="FFFFFF"/>
          <w:lang w:val="en-US"/>
        </w:rPr>
        <w:t xml:space="preserve">  </w:t>
      </w:r>
      <w:r>
        <w:rPr>
          <w:sz w:val="27"/>
          <w:szCs w:val="27"/>
          <w:shd w:val="clear" w:fill="FFFFFF"/>
          <w:lang w:eastAsia="zh-CN"/>
        </w:rPr>
        <w:t>（</w:t>
      </w:r>
      <w:r>
        <w:rPr>
          <w:sz w:val="27"/>
          <w:szCs w:val="27"/>
          <w:shd w:val="clear" w:fill="FFFFFF"/>
          <w:lang w:val="en-US"/>
        </w:rPr>
        <w:t>5</w:t>
      </w:r>
      <w:r>
        <w:rPr>
          <w:sz w:val="27"/>
          <w:szCs w:val="27"/>
          <w:shd w:val="clear" w:fill="FFFFFF"/>
          <w:lang w:eastAsia="zh-CN"/>
        </w:rPr>
        <w:t>）住房保障支出</w:t>
      </w:r>
      <w:r>
        <w:rPr>
          <w:sz w:val="27"/>
          <w:szCs w:val="27"/>
          <w:shd w:val="clear" w:fill="FFFFFF"/>
          <w:lang w:val="en-US"/>
        </w:rPr>
        <w:t>3.73</w:t>
      </w:r>
      <w:r>
        <w:rPr>
          <w:sz w:val="27"/>
          <w:szCs w:val="27"/>
          <w:shd w:val="clear" w:fill="FFFFFF"/>
          <w:lang w:eastAsia="zh-CN"/>
        </w:rPr>
        <w:t>万元，占</w:t>
      </w:r>
      <w:r>
        <w:rPr>
          <w:sz w:val="27"/>
          <w:szCs w:val="27"/>
          <w:shd w:val="clear" w:fill="FFFFFF"/>
          <w:lang w:val="en-US"/>
        </w:rPr>
        <w:t>4.8%</w:t>
      </w:r>
      <w:r>
        <w:rPr>
          <w:sz w:val="27"/>
          <w:szCs w:val="27"/>
          <w:shd w:val="clear" w:fill="FFFFFF"/>
          <w:lang w:eastAsia="zh-CN"/>
        </w:rPr>
        <w:t>，较年初预算数增加</w:t>
      </w:r>
      <w:r>
        <w:rPr>
          <w:sz w:val="27"/>
          <w:szCs w:val="27"/>
          <w:shd w:val="clear" w:fill="FFFFFF"/>
          <w:lang w:val="en-US"/>
        </w:rPr>
        <w:t>0.00</w:t>
      </w:r>
      <w:r>
        <w:rPr>
          <w:sz w:val="27"/>
          <w:szCs w:val="27"/>
          <w:shd w:val="clear" w:fill="FFFFFF"/>
          <w:lang w:eastAsia="zh-CN"/>
        </w:rPr>
        <w:t>万元，增长</w:t>
      </w:r>
      <w:r>
        <w:rPr>
          <w:sz w:val="27"/>
          <w:szCs w:val="27"/>
          <w:shd w:val="clear" w:fill="FFFFFF"/>
          <w:lang w:val="en-US"/>
        </w:rPr>
        <w:t>0%</w:t>
      </w:r>
      <w:r>
        <w:rPr>
          <w:sz w:val="27"/>
          <w:szCs w:val="27"/>
          <w:shd w:val="clear" w:fill="FFFFFF"/>
          <w:lang w:eastAsia="zh-CN"/>
        </w:rPr>
        <w:t>，主要原因是无支出预算调整。</w:t>
      </w:r>
    </w:p>
    <w:p>
      <w:pPr>
        <w:pStyle w:val="2"/>
        <w:shd w:val="clear" w:fill="FFFFFF"/>
      </w:pPr>
      <w:r>
        <w:rPr>
          <w:sz w:val="27"/>
          <w:szCs w:val="27"/>
          <w:shd w:val="clear" w:fill="FFFFFF"/>
          <w:lang w:val="en-US"/>
        </w:rPr>
        <w:t> </w:t>
      </w:r>
    </w:p>
    <w:p>
      <w:pPr>
        <w:pStyle w:val="2"/>
        <w:shd w:val="clear" w:fill="FFFFFF"/>
        <w:outlineLvl w:val="0"/>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（四）一般公共预算财政拨款基本支出决算情况说明。</w:t>
      </w:r>
    </w:p>
    <w:p>
      <w:pPr>
        <w:pStyle w:val="2"/>
        <w:shd w:val="clear" w:fill="FFFFFF"/>
        <w:rPr>
          <w:sz w:val="27"/>
          <w:szCs w:val="27"/>
          <w:shd w:val="clear" w:fill="FFFFFF"/>
          <w:lang w:val="en-US"/>
        </w:rPr>
      </w:pPr>
      <w:r>
        <w:rPr>
          <w:sz w:val="27"/>
          <w:szCs w:val="27"/>
          <w:shd w:val="clear" w:fill="FFFFFF"/>
          <w:lang w:val="en-US"/>
        </w:rPr>
        <w:t>  2021</w:t>
      </w:r>
      <w:r>
        <w:rPr>
          <w:sz w:val="27"/>
          <w:szCs w:val="27"/>
          <w:shd w:val="clear" w:fill="FFFFFF"/>
          <w:lang w:eastAsia="zh-CN"/>
        </w:rPr>
        <w:t>年度一般公共财政拨款基本支出</w:t>
      </w:r>
      <w:r>
        <w:rPr>
          <w:sz w:val="27"/>
          <w:szCs w:val="27"/>
          <w:shd w:val="clear" w:fill="FFFFFF"/>
          <w:lang w:val="en-US"/>
        </w:rPr>
        <w:t>78.17</w:t>
      </w:r>
      <w:r>
        <w:rPr>
          <w:sz w:val="27"/>
          <w:szCs w:val="27"/>
          <w:shd w:val="clear" w:fill="FFFFFF"/>
          <w:lang w:eastAsia="zh-CN"/>
        </w:rPr>
        <w:t>万元。其中：人员经费</w:t>
      </w:r>
      <w:r>
        <w:rPr>
          <w:sz w:val="27"/>
          <w:szCs w:val="27"/>
          <w:shd w:val="clear" w:fill="FFFFFF"/>
          <w:lang w:val="en-US"/>
        </w:rPr>
        <w:t>65.40</w:t>
      </w:r>
      <w:r>
        <w:rPr>
          <w:sz w:val="27"/>
          <w:szCs w:val="27"/>
          <w:shd w:val="clear" w:fill="FFFFFF"/>
          <w:lang w:eastAsia="zh-CN"/>
        </w:rPr>
        <w:t>万元，较上年决算数减少</w:t>
      </w:r>
      <w:r>
        <w:rPr>
          <w:sz w:val="27"/>
          <w:szCs w:val="27"/>
          <w:shd w:val="clear" w:fill="FFFFFF"/>
          <w:lang w:val="en-US"/>
        </w:rPr>
        <w:t>34.45</w:t>
      </w:r>
      <w:r>
        <w:rPr>
          <w:sz w:val="27"/>
          <w:szCs w:val="27"/>
          <w:shd w:val="clear" w:fill="FFFFFF"/>
          <w:lang w:eastAsia="zh-CN"/>
        </w:rPr>
        <w:t>万元，下降</w:t>
      </w:r>
      <w:r>
        <w:rPr>
          <w:sz w:val="27"/>
          <w:szCs w:val="27"/>
          <w:shd w:val="clear" w:fill="FFFFFF"/>
          <w:lang w:val="en-US"/>
        </w:rPr>
        <w:t>34.5%</w:t>
      </w:r>
      <w:r>
        <w:rPr>
          <w:sz w:val="27"/>
          <w:szCs w:val="27"/>
          <w:shd w:val="clear" w:fill="FFFFFF"/>
          <w:lang w:eastAsia="zh-CN"/>
        </w:rPr>
        <w:t>，主要原因是人员调出减少支出。人员经费用途主要包括基本工资、津贴补贴、绩效工资、住房公积金、养老保险、职业年金、医疗保险、奖金、公休假补助、平时考核、目标考核等。公用经费</w:t>
      </w:r>
      <w:r>
        <w:rPr>
          <w:sz w:val="27"/>
          <w:szCs w:val="27"/>
          <w:shd w:val="clear" w:fill="FFFFFF"/>
          <w:lang w:val="en-US"/>
        </w:rPr>
        <w:t>12.77</w:t>
      </w:r>
      <w:r>
        <w:rPr>
          <w:sz w:val="27"/>
          <w:szCs w:val="27"/>
          <w:shd w:val="clear" w:fill="FFFFFF"/>
          <w:lang w:eastAsia="zh-CN"/>
        </w:rPr>
        <w:t>万元，较上年决算数减少</w:t>
      </w:r>
      <w:r>
        <w:rPr>
          <w:sz w:val="27"/>
          <w:szCs w:val="27"/>
          <w:shd w:val="clear" w:fill="FFFFFF"/>
          <w:lang w:val="en-US"/>
        </w:rPr>
        <w:t>8.67</w:t>
      </w:r>
      <w:r>
        <w:rPr>
          <w:sz w:val="27"/>
          <w:szCs w:val="27"/>
          <w:shd w:val="clear" w:fill="FFFFFF"/>
          <w:lang w:eastAsia="zh-CN"/>
        </w:rPr>
        <w:t>万元，下降</w:t>
      </w:r>
      <w:r>
        <w:rPr>
          <w:sz w:val="27"/>
          <w:szCs w:val="27"/>
          <w:shd w:val="clear" w:fill="FFFFFF"/>
          <w:lang w:val="en-US"/>
        </w:rPr>
        <w:t>40.4%</w:t>
      </w:r>
      <w:r>
        <w:rPr>
          <w:sz w:val="27"/>
          <w:szCs w:val="27"/>
          <w:shd w:val="clear" w:fill="FFFFFF"/>
          <w:lang w:eastAsia="zh-CN"/>
        </w:rPr>
        <w:t>，主要原因是人员调出减少支出。公用经费用途主要包括办公费、差旅费、水电费、邮电费</w:t>
      </w:r>
      <w:r>
        <w:rPr>
          <w:rFonts w:hint="eastAsia"/>
          <w:sz w:val="27"/>
          <w:szCs w:val="27"/>
          <w:shd w:val="clear" w:fill="FFFFFF"/>
          <w:lang w:eastAsia="zh-CN"/>
        </w:rPr>
        <w:t>、</w:t>
      </w:r>
      <w:r>
        <w:rPr>
          <w:sz w:val="27"/>
          <w:szCs w:val="27"/>
          <w:shd w:val="clear" w:fill="FFFFFF"/>
          <w:lang w:eastAsia="zh-CN"/>
        </w:rPr>
        <w:t>招待费、其他交通费、福利费、工会费等。</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（五）政府性基金预算收支决算情况说明。</w:t>
      </w:r>
    </w:p>
    <w:p>
      <w:pPr>
        <w:pStyle w:val="2"/>
        <w:shd w:val="clear" w:fill="FFFFFF"/>
      </w:pPr>
      <w:r>
        <w:rPr>
          <w:sz w:val="27"/>
          <w:szCs w:val="27"/>
          <w:shd w:val="clear" w:fill="FFFFFF"/>
          <w:lang w:val="en-US"/>
        </w:rPr>
        <w:t> </w:t>
      </w:r>
      <w:r>
        <w:rPr>
          <w:sz w:val="27"/>
          <w:szCs w:val="27"/>
          <w:shd w:val="clear" w:fill="FFFFFF"/>
          <w:lang w:eastAsia="zh-CN"/>
        </w:rPr>
        <w:t>本单位</w:t>
      </w:r>
      <w:r>
        <w:rPr>
          <w:sz w:val="27"/>
          <w:szCs w:val="27"/>
          <w:shd w:val="clear" w:fill="FFFFFF"/>
          <w:lang w:val="en-US"/>
        </w:rPr>
        <w:t>2021</w:t>
      </w:r>
      <w:r>
        <w:rPr>
          <w:sz w:val="27"/>
          <w:szCs w:val="27"/>
          <w:shd w:val="clear" w:fill="FFFFFF"/>
          <w:lang w:eastAsia="zh-CN"/>
        </w:rPr>
        <w:t>年度无政府性基金预算财政拨款收支。</w:t>
      </w:r>
    </w:p>
    <w:p>
      <w:pPr>
        <w:pStyle w:val="2"/>
        <w:shd w:val="clear" w:fill="FFFFFF"/>
        <w:outlineLvl w:val="0"/>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（六）国有资本经营预算财政拨款支出决算情况说明。</w:t>
      </w:r>
    </w:p>
    <w:p>
      <w:pPr>
        <w:pStyle w:val="2"/>
        <w:shd w:val="clear" w:fill="FFFFFF"/>
      </w:pPr>
      <w:r>
        <w:rPr>
          <w:sz w:val="27"/>
          <w:szCs w:val="27"/>
          <w:shd w:val="clear" w:fill="FFFFFF"/>
          <w:lang w:val="en-US"/>
        </w:rPr>
        <w:t> </w:t>
      </w:r>
      <w:r>
        <w:rPr>
          <w:sz w:val="27"/>
          <w:szCs w:val="27"/>
          <w:shd w:val="clear" w:fill="FFFFFF"/>
          <w:lang w:eastAsia="zh-CN"/>
        </w:rPr>
        <w:t>本单位</w:t>
      </w:r>
      <w:r>
        <w:rPr>
          <w:sz w:val="27"/>
          <w:szCs w:val="27"/>
          <w:shd w:val="clear" w:fill="FFFFFF"/>
          <w:lang w:val="en-US"/>
        </w:rPr>
        <w:t>2021</w:t>
      </w:r>
      <w:r>
        <w:rPr>
          <w:sz w:val="27"/>
          <w:szCs w:val="27"/>
          <w:shd w:val="clear" w:fill="FFFFFF"/>
          <w:lang w:eastAsia="zh-CN"/>
        </w:rPr>
        <w:t>年度无国有资本经营预算财政拨款支出。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三、“三公”经费情况说明</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（一）“三公”经费支出总体情况说明。</w:t>
      </w:r>
    </w:p>
    <w:p>
      <w:pPr>
        <w:pStyle w:val="2"/>
        <w:shd w:val="clear" w:fill="FFFFFF"/>
      </w:pPr>
      <w:r>
        <w:rPr>
          <w:sz w:val="27"/>
          <w:szCs w:val="27"/>
          <w:shd w:val="clear" w:fill="FFFFFF"/>
          <w:lang w:val="en-US"/>
        </w:rPr>
        <w:t>  2021</w:t>
      </w:r>
      <w:r>
        <w:rPr>
          <w:sz w:val="27"/>
          <w:szCs w:val="27"/>
          <w:shd w:val="clear" w:fill="FFFFFF"/>
          <w:lang w:eastAsia="zh-CN"/>
        </w:rPr>
        <w:t>年度“三公”经费支出共计</w:t>
      </w:r>
      <w:r>
        <w:rPr>
          <w:sz w:val="27"/>
          <w:szCs w:val="27"/>
          <w:shd w:val="clear" w:fill="FFFFFF"/>
          <w:lang w:val="en-US"/>
        </w:rPr>
        <w:t>0.10</w:t>
      </w:r>
      <w:r>
        <w:rPr>
          <w:sz w:val="27"/>
          <w:szCs w:val="27"/>
          <w:shd w:val="clear" w:fill="FFFFFF"/>
          <w:lang w:eastAsia="zh-CN"/>
        </w:rPr>
        <w:t>万元，较年初预算数增加</w:t>
      </w:r>
      <w:r>
        <w:rPr>
          <w:sz w:val="27"/>
          <w:szCs w:val="27"/>
          <w:shd w:val="clear" w:fill="FFFFFF"/>
          <w:lang w:val="en-US"/>
        </w:rPr>
        <w:t>0.00</w:t>
      </w:r>
      <w:r>
        <w:rPr>
          <w:sz w:val="27"/>
          <w:szCs w:val="27"/>
          <w:shd w:val="clear" w:fill="FFFFFF"/>
          <w:lang w:eastAsia="zh-CN"/>
        </w:rPr>
        <w:t>万元，增长</w:t>
      </w:r>
      <w:r>
        <w:rPr>
          <w:sz w:val="27"/>
          <w:szCs w:val="27"/>
          <w:shd w:val="clear" w:fill="FFFFFF"/>
          <w:lang w:val="en-US"/>
        </w:rPr>
        <w:t>0%</w:t>
      </w:r>
      <w:r>
        <w:rPr>
          <w:sz w:val="27"/>
          <w:szCs w:val="27"/>
          <w:shd w:val="clear" w:fill="FFFFFF"/>
          <w:lang w:eastAsia="zh-CN"/>
        </w:rPr>
        <w:t>，主要原因是严格控制“三公”经费支出。较上年支出数减少</w:t>
      </w:r>
      <w:r>
        <w:rPr>
          <w:sz w:val="27"/>
          <w:szCs w:val="27"/>
          <w:shd w:val="clear" w:fill="FFFFFF"/>
          <w:lang w:val="en-US"/>
        </w:rPr>
        <w:t>0.02</w:t>
      </w:r>
      <w:r>
        <w:rPr>
          <w:sz w:val="27"/>
          <w:szCs w:val="27"/>
          <w:shd w:val="clear" w:fill="FFFFFF"/>
          <w:lang w:eastAsia="zh-CN"/>
        </w:rPr>
        <w:t>万元，下降</w:t>
      </w:r>
      <w:r>
        <w:rPr>
          <w:sz w:val="27"/>
          <w:szCs w:val="27"/>
          <w:shd w:val="clear" w:fill="FFFFFF"/>
          <w:lang w:val="en-US"/>
        </w:rPr>
        <w:t>16.7%</w:t>
      </w:r>
      <w:r>
        <w:rPr>
          <w:sz w:val="27"/>
          <w:szCs w:val="27"/>
          <w:shd w:val="clear" w:fill="FFFFFF"/>
          <w:lang w:eastAsia="zh-CN"/>
        </w:rPr>
        <w:t>，主要原因是压缩“三公”经费支出。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（二）“三公”经费分项支出情况。</w:t>
      </w:r>
    </w:p>
    <w:p>
      <w:pPr>
        <w:pStyle w:val="2"/>
        <w:shd w:val="clear" w:fill="FFFFFF"/>
        <w:rPr>
          <w:sz w:val="27"/>
          <w:szCs w:val="27"/>
          <w:shd w:val="clear" w:fill="FFFFFF"/>
          <w:lang w:val="en-US"/>
        </w:rPr>
      </w:pPr>
      <w:r>
        <w:rPr>
          <w:sz w:val="27"/>
          <w:szCs w:val="27"/>
          <w:shd w:val="clear" w:fill="FFFFFF"/>
          <w:lang w:val="en-US"/>
        </w:rPr>
        <w:t> 2021</w:t>
      </w:r>
      <w:r>
        <w:rPr>
          <w:sz w:val="27"/>
          <w:szCs w:val="27"/>
          <w:shd w:val="clear" w:fill="FFFFFF"/>
          <w:lang w:eastAsia="zh-CN"/>
        </w:rPr>
        <w:t>年度本部门因公出国（境）费用</w:t>
      </w:r>
      <w:r>
        <w:rPr>
          <w:sz w:val="27"/>
          <w:szCs w:val="27"/>
          <w:shd w:val="clear" w:fill="FFFFFF"/>
          <w:lang w:val="en-US"/>
        </w:rPr>
        <w:t>0.00</w:t>
      </w:r>
      <w:r>
        <w:rPr>
          <w:sz w:val="27"/>
          <w:szCs w:val="27"/>
          <w:shd w:val="clear" w:fill="FFFFFF"/>
          <w:lang w:eastAsia="zh-CN"/>
        </w:rPr>
        <w:t>万元，</w:t>
      </w:r>
      <w:r>
        <w:rPr>
          <w:sz w:val="32"/>
          <w:szCs w:val="32"/>
          <w:shd w:val="clear" w:fill="FFFFFF"/>
          <w:lang w:eastAsia="zh-CN"/>
        </w:rPr>
        <w:t>本单位</w:t>
      </w:r>
      <w:r>
        <w:rPr>
          <w:sz w:val="27"/>
          <w:szCs w:val="27"/>
          <w:shd w:val="clear" w:fill="FFFFFF"/>
          <w:lang w:val="en-US"/>
        </w:rPr>
        <w:t>2021</w:t>
      </w:r>
      <w:r>
        <w:rPr>
          <w:sz w:val="27"/>
          <w:szCs w:val="27"/>
          <w:shd w:val="clear" w:fill="FFFFFF"/>
          <w:lang w:eastAsia="zh-CN"/>
        </w:rPr>
        <w:t>年未发生因公出国（境）费用。</w:t>
      </w:r>
    </w:p>
    <w:p>
      <w:pPr>
        <w:pStyle w:val="2"/>
        <w:shd w:val="clear" w:fill="FFFFFF"/>
        <w:rPr>
          <w:sz w:val="27"/>
          <w:szCs w:val="27"/>
          <w:shd w:val="clear" w:fill="FFFFFF"/>
          <w:lang w:val="en-US"/>
        </w:rPr>
      </w:pPr>
      <w:r>
        <w:rPr>
          <w:sz w:val="27"/>
          <w:szCs w:val="27"/>
          <w:shd w:val="clear" w:fill="FFFFFF"/>
          <w:lang w:val="en-US"/>
        </w:rPr>
        <w:t> </w:t>
      </w:r>
      <w:r>
        <w:rPr>
          <w:sz w:val="27"/>
          <w:szCs w:val="27"/>
          <w:shd w:val="clear" w:fill="FFFFFF"/>
          <w:lang w:eastAsia="zh-CN"/>
        </w:rPr>
        <w:t>公务车购置费</w:t>
      </w:r>
      <w:r>
        <w:rPr>
          <w:sz w:val="27"/>
          <w:szCs w:val="27"/>
          <w:shd w:val="clear" w:fill="FFFFFF"/>
          <w:lang w:val="en-US"/>
        </w:rPr>
        <w:t>0.00</w:t>
      </w:r>
      <w:r>
        <w:rPr>
          <w:sz w:val="27"/>
          <w:szCs w:val="27"/>
          <w:shd w:val="clear" w:fill="FFFFFF"/>
          <w:lang w:eastAsia="zh-CN"/>
        </w:rPr>
        <w:t>万元，主要原因是</w:t>
      </w:r>
      <w:r>
        <w:rPr>
          <w:sz w:val="27"/>
          <w:szCs w:val="27"/>
          <w:shd w:val="clear" w:fill="FFFFFF"/>
          <w:lang w:val="en-US"/>
        </w:rPr>
        <w:t>2021</w:t>
      </w:r>
      <w:r>
        <w:rPr>
          <w:sz w:val="27"/>
          <w:szCs w:val="27"/>
          <w:shd w:val="clear" w:fill="FFFFFF"/>
          <w:lang w:eastAsia="zh-CN"/>
        </w:rPr>
        <w:t>年未发生公务车购置费。</w:t>
      </w:r>
    </w:p>
    <w:p>
      <w:pPr>
        <w:pStyle w:val="2"/>
        <w:shd w:val="clear" w:fill="FFFFFF"/>
      </w:pPr>
      <w:r>
        <w:rPr>
          <w:sz w:val="27"/>
          <w:szCs w:val="27"/>
          <w:shd w:val="clear" w:fill="FFFFFF"/>
          <w:lang w:val="en-US"/>
        </w:rPr>
        <w:t xml:space="preserve">  </w:t>
      </w:r>
      <w:r>
        <w:rPr>
          <w:sz w:val="27"/>
          <w:szCs w:val="27"/>
          <w:shd w:val="clear" w:fill="FFFFFF"/>
          <w:lang w:eastAsia="zh-CN"/>
        </w:rPr>
        <w:t>公务车运行维护费</w:t>
      </w:r>
      <w:r>
        <w:rPr>
          <w:sz w:val="27"/>
          <w:szCs w:val="27"/>
          <w:shd w:val="clear" w:fill="FFFFFF"/>
          <w:lang w:val="en-US"/>
        </w:rPr>
        <w:t>0.00</w:t>
      </w:r>
      <w:r>
        <w:rPr>
          <w:sz w:val="27"/>
          <w:szCs w:val="27"/>
          <w:shd w:val="clear" w:fill="FFFFFF"/>
          <w:lang w:eastAsia="zh-CN"/>
        </w:rPr>
        <w:t>万元，主要原因是</w:t>
      </w:r>
      <w:r>
        <w:rPr>
          <w:sz w:val="27"/>
          <w:szCs w:val="27"/>
          <w:shd w:val="clear" w:fill="FFFFFF"/>
          <w:lang w:val="en-US"/>
        </w:rPr>
        <w:t>2021</w:t>
      </w:r>
      <w:r>
        <w:rPr>
          <w:sz w:val="27"/>
          <w:szCs w:val="27"/>
          <w:shd w:val="clear" w:fill="FFFFFF"/>
          <w:lang w:eastAsia="zh-CN"/>
        </w:rPr>
        <w:t>年未发生公务车运行维护费用。</w:t>
      </w:r>
    </w:p>
    <w:p>
      <w:pPr>
        <w:pStyle w:val="2"/>
        <w:shd w:val="clear" w:fill="FFFFFF"/>
      </w:pPr>
      <w:r>
        <w:rPr>
          <w:sz w:val="27"/>
          <w:szCs w:val="27"/>
          <w:shd w:val="clear" w:fill="FFFFFF"/>
          <w:lang w:val="en-US"/>
        </w:rPr>
        <w:t xml:space="preserve">  </w:t>
      </w:r>
      <w:r>
        <w:rPr>
          <w:sz w:val="27"/>
          <w:szCs w:val="27"/>
          <w:shd w:val="clear" w:fill="FFFFFF"/>
          <w:lang w:eastAsia="zh-CN"/>
        </w:rPr>
        <w:t>公务接待费</w:t>
      </w:r>
      <w:r>
        <w:rPr>
          <w:sz w:val="27"/>
          <w:szCs w:val="27"/>
          <w:shd w:val="clear" w:fill="FFFFFF"/>
          <w:lang w:val="en-US"/>
        </w:rPr>
        <w:t>0.10</w:t>
      </w:r>
      <w:r>
        <w:rPr>
          <w:sz w:val="27"/>
          <w:szCs w:val="27"/>
          <w:shd w:val="clear" w:fill="FFFFFF"/>
          <w:lang w:eastAsia="zh-CN"/>
        </w:rPr>
        <w:t>万元，主要用于接待上级来人检查工作。费用支出较年初预算数增加</w:t>
      </w:r>
      <w:r>
        <w:rPr>
          <w:sz w:val="27"/>
          <w:szCs w:val="27"/>
          <w:shd w:val="clear" w:fill="FFFFFF"/>
          <w:lang w:val="en-US"/>
        </w:rPr>
        <w:t>0.00</w:t>
      </w:r>
      <w:r>
        <w:rPr>
          <w:sz w:val="27"/>
          <w:szCs w:val="27"/>
          <w:shd w:val="clear" w:fill="FFFFFF"/>
          <w:lang w:eastAsia="zh-CN"/>
        </w:rPr>
        <w:t>万元，增长</w:t>
      </w:r>
      <w:r>
        <w:rPr>
          <w:sz w:val="27"/>
          <w:szCs w:val="27"/>
          <w:shd w:val="clear" w:fill="FFFFFF"/>
          <w:lang w:val="en-US"/>
        </w:rPr>
        <w:t>0%</w:t>
      </w:r>
      <w:r>
        <w:rPr>
          <w:sz w:val="27"/>
          <w:szCs w:val="27"/>
          <w:shd w:val="clear" w:fill="FFFFFF"/>
          <w:lang w:eastAsia="zh-CN"/>
        </w:rPr>
        <w:t>，主要原因是严格执行公务接待制度，不超预算支出。较上年支出数减少</w:t>
      </w:r>
      <w:r>
        <w:rPr>
          <w:sz w:val="27"/>
          <w:szCs w:val="27"/>
          <w:shd w:val="clear" w:fill="FFFFFF"/>
          <w:lang w:val="en-US"/>
        </w:rPr>
        <w:t>0.02</w:t>
      </w:r>
      <w:r>
        <w:rPr>
          <w:sz w:val="27"/>
          <w:szCs w:val="27"/>
          <w:shd w:val="clear" w:fill="FFFFFF"/>
          <w:lang w:eastAsia="zh-CN"/>
        </w:rPr>
        <w:t>万元，下降</w:t>
      </w:r>
      <w:r>
        <w:rPr>
          <w:sz w:val="27"/>
          <w:szCs w:val="27"/>
          <w:shd w:val="clear" w:fill="FFFFFF"/>
          <w:lang w:val="en-US"/>
        </w:rPr>
        <w:t>16.7%</w:t>
      </w:r>
      <w:r>
        <w:rPr>
          <w:sz w:val="27"/>
          <w:szCs w:val="27"/>
          <w:shd w:val="clear" w:fill="FFFFFF"/>
          <w:lang w:eastAsia="zh-CN"/>
        </w:rPr>
        <w:t>，主要原因是压缩接待标准。</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（三）“三公”经费实物量情况。</w:t>
      </w:r>
    </w:p>
    <w:p>
      <w:pPr>
        <w:pStyle w:val="2"/>
        <w:shd w:val="clear" w:fill="FFFFFF"/>
      </w:pPr>
      <w:r>
        <w:rPr>
          <w:sz w:val="27"/>
          <w:szCs w:val="27"/>
          <w:shd w:val="clear" w:fill="FFFFFF"/>
          <w:lang w:val="en-US"/>
        </w:rPr>
        <w:t>  2021</w:t>
      </w:r>
      <w:r>
        <w:rPr>
          <w:sz w:val="27"/>
          <w:szCs w:val="27"/>
          <w:shd w:val="clear" w:fill="FFFFFF"/>
          <w:lang w:eastAsia="zh-CN"/>
        </w:rPr>
        <w:t>年度本部门因公出国（境）共计</w:t>
      </w:r>
      <w:r>
        <w:rPr>
          <w:sz w:val="27"/>
          <w:szCs w:val="27"/>
          <w:shd w:val="clear" w:fill="FFFFFF"/>
          <w:lang w:val="en-US"/>
        </w:rPr>
        <w:t>0</w:t>
      </w:r>
      <w:r>
        <w:rPr>
          <w:sz w:val="27"/>
          <w:szCs w:val="27"/>
          <w:shd w:val="clear" w:fill="FFFFFF"/>
          <w:lang w:eastAsia="zh-CN"/>
        </w:rPr>
        <w:t>个团组，</w:t>
      </w:r>
      <w:r>
        <w:rPr>
          <w:sz w:val="27"/>
          <w:szCs w:val="27"/>
          <w:shd w:val="clear" w:fill="FFFFFF"/>
          <w:lang w:val="en-US"/>
        </w:rPr>
        <w:t>0</w:t>
      </w:r>
      <w:r>
        <w:rPr>
          <w:sz w:val="27"/>
          <w:szCs w:val="27"/>
          <w:shd w:val="clear" w:fill="FFFFFF"/>
          <w:lang w:eastAsia="zh-CN"/>
        </w:rPr>
        <w:t>人；公务用车购置</w:t>
      </w:r>
      <w:r>
        <w:rPr>
          <w:sz w:val="27"/>
          <w:szCs w:val="27"/>
          <w:shd w:val="clear" w:fill="FFFFFF"/>
          <w:lang w:val="en-US"/>
        </w:rPr>
        <w:t>0</w:t>
      </w:r>
      <w:r>
        <w:rPr>
          <w:sz w:val="27"/>
          <w:szCs w:val="27"/>
          <w:shd w:val="clear" w:fill="FFFFFF"/>
          <w:lang w:eastAsia="zh-CN"/>
        </w:rPr>
        <w:t>辆，公务车保有量为</w:t>
      </w:r>
      <w:r>
        <w:rPr>
          <w:sz w:val="27"/>
          <w:szCs w:val="27"/>
          <w:shd w:val="clear" w:fill="FFFFFF"/>
          <w:lang w:val="en-US"/>
        </w:rPr>
        <w:t>0</w:t>
      </w:r>
      <w:r>
        <w:rPr>
          <w:sz w:val="27"/>
          <w:szCs w:val="27"/>
          <w:shd w:val="clear" w:fill="FFFFFF"/>
          <w:lang w:eastAsia="zh-CN"/>
        </w:rPr>
        <w:t>辆；国内公务接待</w:t>
      </w:r>
      <w:r>
        <w:rPr>
          <w:sz w:val="27"/>
          <w:szCs w:val="27"/>
          <w:shd w:val="clear" w:fill="FFFFFF"/>
          <w:lang w:val="en-US"/>
        </w:rPr>
        <w:t>3</w:t>
      </w:r>
      <w:r>
        <w:rPr>
          <w:sz w:val="27"/>
          <w:szCs w:val="27"/>
          <w:shd w:val="clear" w:fill="FFFFFF"/>
          <w:lang w:eastAsia="zh-CN"/>
        </w:rPr>
        <w:t>批次</w:t>
      </w:r>
      <w:r>
        <w:rPr>
          <w:sz w:val="27"/>
          <w:szCs w:val="27"/>
          <w:shd w:val="clear" w:fill="FFFFFF"/>
          <w:lang w:val="en-US"/>
        </w:rPr>
        <w:t>16</w:t>
      </w:r>
      <w:r>
        <w:rPr>
          <w:sz w:val="27"/>
          <w:szCs w:val="27"/>
          <w:shd w:val="clear" w:fill="FFFFFF"/>
          <w:lang w:eastAsia="zh-CN"/>
        </w:rPr>
        <w:t>人，其中：国内外事接待</w:t>
      </w:r>
      <w:r>
        <w:rPr>
          <w:sz w:val="27"/>
          <w:szCs w:val="27"/>
          <w:shd w:val="clear" w:fill="FFFFFF"/>
          <w:lang w:val="en-US"/>
        </w:rPr>
        <w:t>0</w:t>
      </w:r>
      <w:r>
        <w:rPr>
          <w:sz w:val="27"/>
          <w:szCs w:val="27"/>
          <w:shd w:val="clear" w:fill="FFFFFF"/>
          <w:lang w:eastAsia="zh-CN"/>
        </w:rPr>
        <w:t>批次，</w:t>
      </w:r>
      <w:r>
        <w:rPr>
          <w:sz w:val="27"/>
          <w:szCs w:val="27"/>
          <w:shd w:val="clear" w:fill="FFFFFF"/>
          <w:lang w:val="en-US"/>
        </w:rPr>
        <w:t>0</w:t>
      </w:r>
      <w:r>
        <w:rPr>
          <w:sz w:val="27"/>
          <w:szCs w:val="27"/>
          <w:shd w:val="clear" w:fill="FFFFFF"/>
          <w:lang w:eastAsia="zh-CN"/>
        </w:rPr>
        <w:t>人；国（境）外公务接待</w:t>
      </w:r>
      <w:r>
        <w:rPr>
          <w:sz w:val="27"/>
          <w:szCs w:val="27"/>
          <w:shd w:val="clear" w:fill="FFFFFF"/>
          <w:lang w:val="en-US"/>
        </w:rPr>
        <w:t>0</w:t>
      </w:r>
      <w:r>
        <w:rPr>
          <w:sz w:val="27"/>
          <w:szCs w:val="27"/>
          <w:shd w:val="clear" w:fill="FFFFFF"/>
          <w:lang w:eastAsia="zh-CN"/>
        </w:rPr>
        <w:t>批次，</w:t>
      </w:r>
      <w:r>
        <w:rPr>
          <w:sz w:val="27"/>
          <w:szCs w:val="27"/>
          <w:shd w:val="clear" w:fill="FFFFFF"/>
          <w:lang w:val="en-US"/>
        </w:rPr>
        <w:t>0</w:t>
      </w:r>
      <w:r>
        <w:rPr>
          <w:sz w:val="27"/>
          <w:szCs w:val="27"/>
          <w:shd w:val="clear" w:fill="FFFFFF"/>
          <w:lang w:eastAsia="zh-CN"/>
        </w:rPr>
        <w:t>人。</w:t>
      </w:r>
      <w:r>
        <w:rPr>
          <w:sz w:val="27"/>
          <w:szCs w:val="27"/>
          <w:shd w:val="clear" w:fill="FFFFFF"/>
          <w:lang w:val="en-US"/>
        </w:rPr>
        <w:t>2021</w:t>
      </w:r>
      <w:r>
        <w:rPr>
          <w:sz w:val="27"/>
          <w:szCs w:val="27"/>
          <w:shd w:val="clear" w:fill="FFFFFF"/>
          <w:lang w:eastAsia="zh-CN"/>
        </w:rPr>
        <w:t>年本部门人均接待费</w:t>
      </w:r>
      <w:r>
        <w:rPr>
          <w:sz w:val="27"/>
          <w:szCs w:val="27"/>
          <w:shd w:val="clear" w:fill="FFFFFF"/>
          <w:lang w:val="en-US"/>
        </w:rPr>
        <w:t>60.81</w:t>
      </w:r>
      <w:r>
        <w:rPr>
          <w:sz w:val="27"/>
          <w:szCs w:val="27"/>
          <w:shd w:val="clear" w:fill="FFFFFF"/>
          <w:lang w:eastAsia="zh-CN"/>
        </w:rPr>
        <w:t>元，车均购置费</w:t>
      </w:r>
      <w:r>
        <w:rPr>
          <w:sz w:val="27"/>
          <w:szCs w:val="27"/>
          <w:shd w:val="clear" w:fill="FFFFFF"/>
          <w:lang w:val="en-US"/>
        </w:rPr>
        <w:t>0.00</w:t>
      </w:r>
      <w:r>
        <w:rPr>
          <w:sz w:val="27"/>
          <w:szCs w:val="27"/>
          <w:shd w:val="clear" w:fill="FFFFFF"/>
          <w:lang w:eastAsia="zh-CN"/>
        </w:rPr>
        <w:t>万元，车均维护费</w:t>
      </w:r>
      <w:r>
        <w:rPr>
          <w:sz w:val="27"/>
          <w:szCs w:val="27"/>
          <w:shd w:val="clear" w:fill="FFFFFF"/>
          <w:lang w:val="en-US"/>
        </w:rPr>
        <w:t>0.00</w:t>
      </w:r>
      <w:r>
        <w:rPr>
          <w:sz w:val="27"/>
          <w:szCs w:val="27"/>
          <w:shd w:val="clear" w:fill="FFFFFF"/>
          <w:lang w:eastAsia="zh-CN"/>
        </w:rPr>
        <w:t>万元。</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四、其他需要说明的事项</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（一）一般公共预算财政拨款会议费和培训费情况说明。</w:t>
      </w:r>
    </w:p>
    <w:p>
      <w:pPr>
        <w:pStyle w:val="2"/>
        <w:shd w:val="clear" w:fill="FFFFFF"/>
      </w:pPr>
      <w:r>
        <w:rPr>
          <w:sz w:val="27"/>
          <w:szCs w:val="27"/>
          <w:shd w:val="clear" w:fill="FFFFFF"/>
          <w:lang w:val="en-US"/>
        </w:rPr>
        <w:t xml:space="preserve">  </w:t>
      </w:r>
      <w:r>
        <w:rPr>
          <w:sz w:val="27"/>
          <w:szCs w:val="27"/>
          <w:shd w:val="clear" w:fill="FFFFFF"/>
          <w:lang w:eastAsia="zh-CN"/>
        </w:rPr>
        <w:t>本年度会议费支出</w:t>
      </w:r>
      <w:r>
        <w:rPr>
          <w:sz w:val="27"/>
          <w:szCs w:val="27"/>
          <w:shd w:val="clear" w:fill="FFFFFF"/>
          <w:lang w:val="en-US"/>
        </w:rPr>
        <w:t>0.00</w:t>
      </w:r>
      <w:r>
        <w:rPr>
          <w:sz w:val="27"/>
          <w:szCs w:val="27"/>
          <w:shd w:val="clear" w:fill="FFFFFF"/>
          <w:lang w:eastAsia="zh-CN"/>
        </w:rPr>
        <w:t>万元，较上年决算数增加</w:t>
      </w:r>
      <w:r>
        <w:rPr>
          <w:sz w:val="27"/>
          <w:szCs w:val="27"/>
          <w:shd w:val="clear" w:fill="FFFFFF"/>
          <w:lang w:val="en-US"/>
        </w:rPr>
        <w:t>0.00</w:t>
      </w:r>
      <w:r>
        <w:rPr>
          <w:sz w:val="27"/>
          <w:szCs w:val="27"/>
          <w:shd w:val="clear" w:fill="FFFFFF"/>
          <w:lang w:eastAsia="zh-CN"/>
        </w:rPr>
        <w:t>万元，增长</w:t>
      </w:r>
      <w:r>
        <w:rPr>
          <w:sz w:val="27"/>
          <w:szCs w:val="27"/>
          <w:shd w:val="clear" w:fill="FFFFFF"/>
          <w:lang w:val="en-US"/>
        </w:rPr>
        <w:t>%</w:t>
      </w:r>
      <w:r>
        <w:rPr>
          <w:sz w:val="27"/>
          <w:szCs w:val="27"/>
          <w:shd w:val="clear" w:fill="FFFFFF"/>
          <w:lang w:eastAsia="zh-CN"/>
        </w:rPr>
        <w:t>，主要原因是无会议费支出。本年度培训费支出</w:t>
      </w:r>
      <w:r>
        <w:rPr>
          <w:sz w:val="27"/>
          <w:szCs w:val="27"/>
          <w:shd w:val="clear" w:fill="FFFFFF"/>
          <w:lang w:val="en-US"/>
        </w:rPr>
        <w:t>0.23</w:t>
      </w:r>
      <w:r>
        <w:rPr>
          <w:sz w:val="27"/>
          <w:szCs w:val="27"/>
          <w:shd w:val="clear" w:fill="FFFFFF"/>
          <w:lang w:eastAsia="zh-CN"/>
        </w:rPr>
        <w:t>万元，较上年决算数减少</w:t>
      </w:r>
      <w:r>
        <w:rPr>
          <w:sz w:val="27"/>
          <w:szCs w:val="27"/>
          <w:shd w:val="clear" w:fill="FFFFFF"/>
          <w:lang w:val="en-US"/>
        </w:rPr>
        <w:t>0.13</w:t>
      </w:r>
      <w:r>
        <w:rPr>
          <w:sz w:val="27"/>
          <w:szCs w:val="27"/>
          <w:shd w:val="clear" w:fill="FFFFFF"/>
          <w:lang w:eastAsia="zh-CN"/>
        </w:rPr>
        <w:t>万元，下降</w:t>
      </w:r>
      <w:r>
        <w:rPr>
          <w:sz w:val="27"/>
          <w:szCs w:val="27"/>
          <w:shd w:val="clear" w:fill="FFFFFF"/>
          <w:lang w:val="en-US"/>
        </w:rPr>
        <w:t>36.1%</w:t>
      </w:r>
      <w:r>
        <w:rPr>
          <w:sz w:val="27"/>
          <w:szCs w:val="27"/>
          <w:shd w:val="clear" w:fill="FFFFFF"/>
          <w:lang w:eastAsia="zh-CN"/>
        </w:rPr>
        <w:t>，主要原因是培训次数减少。</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（二）机关运行经费情况说明。</w:t>
      </w:r>
    </w:p>
    <w:p>
      <w:pPr>
        <w:pStyle w:val="2"/>
        <w:shd w:val="clear" w:fill="FFFFFF"/>
      </w:pPr>
      <w:r>
        <w:rPr>
          <w:sz w:val="27"/>
          <w:szCs w:val="27"/>
          <w:shd w:val="clear" w:fill="FFFFFF"/>
          <w:lang w:val="en-US"/>
        </w:rPr>
        <w:t>  2021</w:t>
      </w:r>
      <w:r>
        <w:rPr>
          <w:sz w:val="27"/>
          <w:szCs w:val="27"/>
          <w:shd w:val="clear" w:fill="FFFFFF"/>
          <w:lang w:eastAsia="zh-CN"/>
        </w:rPr>
        <w:t>年度本部门机关运行经费支出</w:t>
      </w:r>
      <w:r>
        <w:rPr>
          <w:sz w:val="27"/>
          <w:szCs w:val="27"/>
          <w:shd w:val="clear" w:fill="FFFFFF"/>
          <w:lang w:val="en-US"/>
        </w:rPr>
        <w:t>12.77</w:t>
      </w:r>
      <w:r>
        <w:rPr>
          <w:sz w:val="27"/>
          <w:szCs w:val="27"/>
          <w:shd w:val="clear" w:fill="FFFFFF"/>
          <w:lang w:eastAsia="zh-CN"/>
        </w:rPr>
        <w:t>万元，机关运行经费主要用于开支办公费、电费、邮电费、差旅费、会议费、培训费、工会费、其他交通费。机关运行经费较上年决算数减少</w:t>
      </w:r>
      <w:r>
        <w:rPr>
          <w:sz w:val="27"/>
          <w:szCs w:val="27"/>
          <w:shd w:val="clear" w:fill="FFFFFF"/>
          <w:lang w:val="en-US"/>
        </w:rPr>
        <w:t>8.67</w:t>
      </w:r>
      <w:r>
        <w:rPr>
          <w:sz w:val="27"/>
          <w:szCs w:val="27"/>
          <w:shd w:val="clear" w:fill="FFFFFF"/>
          <w:lang w:eastAsia="zh-CN"/>
        </w:rPr>
        <w:t>万元，下降</w:t>
      </w:r>
      <w:r>
        <w:rPr>
          <w:sz w:val="27"/>
          <w:szCs w:val="27"/>
          <w:shd w:val="clear" w:fill="FFFFFF"/>
          <w:lang w:val="en-US"/>
        </w:rPr>
        <w:t>40.4%</w:t>
      </w:r>
      <w:r>
        <w:rPr>
          <w:sz w:val="27"/>
          <w:szCs w:val="27"/>
          <w:shd w:val="clear" w:fill="FFFFFF"/>
          <w:lang w:eastAsia="zh-CN"/>
        </w:rPr>
        <w:t>，主要原因是人员调出减少支出。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（三）国有资产占用情况说明。</w:t>
      </w:r>
    </w:p>
    <w:p>
      <w:pPr>
        <w:pStyle w:val="2"/>
        <w:shd w:val="clear" w:fill="FFFFFF"/>
      </w:pPr>
      <w:r>
        <w:rPr>
          <w:sz w:val="27"/>
          <w:szCs w:val="27"/>
          <w:shd w:val="clear" w:fill="FFFFFF"/>
          <w:lang w:val="en-US"/>
        </w:rPr>
        <w:t xml:space="preserve">  </w:t>
      </w:r>
      <w:r>
        <w:rPr>
          <w:sz w:val="27"/>
          <w:szCs w:val="27"/>
          <w:shd w:val="clear" w:fill="FFFFFF"/>
          <w:lang w:eastAsia="zh-CN"/>
        </w:rPr>
        <w:t>截至</w:t>
      </w:r>
      <w:r>
        <w:rPr>
          <w:sz w:val="27"/>
          <w:szCs w:val="27"/>
          <w:shd w:val="clear" w:fill="FFFFFF"/>
          <w:lang w:val="en-US"/>
        </w:rPr>
        <w:t>2021</w:t>
      </w:r>
      <w:r>
        <w:rPr>
          <w:sz w:val="27"/>
          <w:szCs w:val="27"/>
          <w:shd w:val="clear" w:fill="FFFFFF"/>
          <w:lang w:eastAsia="zh-CN"/>
        </w:rPr>
        <w:t>年</w:t>
      </w:r>
      <w:r>
        <w:rPr>
          <w:sz w:val="27"/>
          <w:szCs w:val="27"/>
          <w:shd w:val="clear" w:fill="FFFFFF"/>
          <w:lang w:val="en-US"/>
        </w:rPr>
        <w:t>12</w:t>
      </w:r>
      <w:r>
        <w:rPr>
          <w:sz w:val="27"/>
          <w:szCs w:val="27"/>
          <w:shd w:val="clear" w:fill="FFFFFF"/>
          <w:lang w:eastAsia="zh-CN"/>
        </w:rPr>
        <w:t>月</w:t>
      </w:r>
      <w:r>
        <w:rPr>
          <w:sz w:val="27"/>
          <w:szCs w:val="27"/>
          <w:shd w:val="clear" w:fill="FFFFFF"/>
          <w:lang w:val="en-US"/>
        </w:rPr>
        <w:t>31</w:t>
      </w:r>
      <w:r>
        <w:rPr>
          <w:sz w:val="27"/>
          <w:szCs w:val="27"/>
          <w:shd w:val="clear" w:fill="FFFFFF"/>
          <w:lang w:eastAsia="zh-CN"/>
        </w:rPr>
        <w:t>日，本部门共有车辆</w:t>
      </w:r>
      <w:r>
        <w:rPr>
          <w:sz w:val="27"/>
          <w:szCs w:val="27"/>
          <w:shd w:val="clear" w:fill="FFFFFF"/>
          <w:lang w:val="en-US"/>
        </w:rPr>
        <w:t>0</w:t>
      </w:r>
      <w:r>
        <w:rPr>
          <w:sz w:val="27"/>
          <w:szCs w:val="27"/>
          <w:shd w:val="clear" w:fill="FFFFFF"/>
          <w:lang w:eastAsia="zh-CN"/>
        </w:rPr>
        <w:t>辆，其中，副部（省）级及以上领导用车</w:t>
      </w:r>
      <w:r>
        <w:rPr>
          <w:sz w:val="27"/>
          <w:szCs w:val="27"/>
          <w:shd w:val="clear" w:fill="FFFFFF"/>
          <w:lang w:val="en-US"/>
        </w:rPr>
        <w:t>0</w:t>
      </w:r>
      <w:r>
        <w:rPr>
          <w:sz w:val="27"/>
          <w:szCs w:val="27"/>
          <w:shd w:val="clear" w:fill="FFFFFF"/>
          <w:lang w:eastAsia="zh-CN"/>
        </w:rPr>
        <w:t>辆、主要领导干部用车</w:t>
      </w:r>
      <w:r>
        <w:rPr>
          <w:sz w:val="27"/>
          <w:szCs w:val="27"/>
          <w:shd w:val="clear" w:fill="FFFFFF"/>
          <w:lang w:val="en-US"/>
        </w:rPr>
        <w:t>0</w:t>
      </w:r>
      <w:r>
        <w:rPr>
          <w:sz w:val="27"/>
          <w:szCs w:val="27"/>
          <w:shd w:val="clear" w:fill="FFFFFF"/>
          <w:lang w:eastAsia="zh-CN"/>
        </w:rPr>
        <w:t>辆、机要通信用车</w:t>
      </w:r>
      <w:r>
        <w:rPr>
          <w:sz w:val="27"/>
          <w:szCs w:val="27"/>
          <w:shd w:val="clear" w:fill="FFFFFF"/>
          <w:lang w:val="en-US"/>
        </w:rPr>
        <w:t>0</w:t>
      </w:r>
      <w:r>
        <w:rPr>
          <w:sz w:val="27"/>
          <w:szCs w:val="27"/>
          <w:shd w:val="clear" w:fill="FFFFFF"/>
          <w:lang w:eastAsia="zh-CN"/>
        </w:rPr>
        <w:t>辆、应急保障用车</w:t>
      </w:r>
      <w:r>
        <w:rPr>
          <w:sz w:val="27"/>
          <w:szCs w:val="27"/>
          <w:shd w:val="clear" w:fill="FFFFFF"/>
          <w:lang w:val="en-US"/>
        </w:rPr>
        <w:t>0</w:t>
      </w:r>
      <w:r>
        <w:rPr>
          <w:sz w:val="27"/>
          <w:szCs w:val="27"/>
          <w:shd w:val="clear" w:fill="FFFFFF"/>
          <w:lang w:eastAsia="zh-CN"/>
        </w:rPr>
        <w:t>辆、执法执勤用车</w:t>
      </w:r>
      <w:r>
        <w:rPr>
          <w:sz w:val="27"/>
          <w:szCs w:val="27"/>
          <w:shd w:val="clear" w:fill="FFFFFF"/>
          <w:lang w:val="en-US"/>
        </w:rPr>
        <w:t>0</w:t>
      </w:r>
      <w:r>
        <w:rPr>
          <w:sz w:val="27"/>
          <w:szCs w:val="27"/>
          <w:shd w:val="clear" w:fill="FFFFFF"/>
          <w:lang w:eastAsia="zh-CN"/>
        </w:rPr>
        <w:t>辆，特种专业技术用车</w:t>
      </w:r>
      <w:r>
        <w:rPr>
          <w:sz w:val="27"/>
          <w:szCs w:val="27"/>
          <w:shd w:val="clear" w:fill="FFFFFF"/>
          <w:lang w:val="en-US"/>
        </w:rPr>
        <w:t>0</w:t>
      </w:r>
      <w:r>
        <w:rPr>
          <w:sz w:val="27"/>
          <w:szCs w:val="27"/>
          <w:shd w:val="clear" w:fill="FFFFFF"/>
          <w:lang w:eastAsia="zh-CN"/>
        </w:rPr>
        <w:t>辆，离退休干部用车</w:t>
      </w:r>
      <w:r>
        <w:rPr>
          <w:sz w:val="27"/>
          <w:szCs w:val="27"/>
          <w:shd w:val="clear" w:fill="FFFFFF"/>
          <w:lang w:val="en-US"/>
        </w:rPr>
        <w:t>0</w:t>
      </w:r>
      <w:r>
        <w:rPr>
          <w:sz w:val="27"/>
          <w:szCs w:val="27"/>
          <w:shd w:val="clear" w:fill="FFFFFF"/>
          <w:lang w:eastAsia="zh-CN"/>
        </w:rPr>
        <w:t>辆，其他用车</w:t>
      </w:r>
      <w:r>
        <w:rPr>
          <w:sz w:val="27"/>
          <w:szCs w:val="27"/>
          <w:shd w:val="clear" w:fill="FFFFFF"/>
          <w:lang w:val="en-US"/>
        </w:rPr>
        <w:t>0</w:t>
      </w:r>
      <w:r>
        <w:rPr>
          <w:sz w:val="27"/>
          <w:szCs w:val="27"/>
          <w:shd w:val="clear" w:fill="FFFFFF"/>
          <w:lang w:eastAsia="zh-CN"/>
        </w:rPr>
        <w:t>辆。单价</w:t>
      </w:r>
      <w:r>
        <w:rPr>
          <w:sz w:val="27"/>
          <w:szCs w:val="27"/>
          <w:shd w:val="clear" w:fill="FFFFFF"/>
          <w:lang w:val="en-US"/>
        </w:rPr>
        <w:t>50</w:t>
      </w:r>
      <w:r>
        <w:rPr>
          <w:sz w:val="27"/>
          <w:szCs w:val="27"/>
          <w:shd w:val="clear" w:fill="FFFFFF"/>
          <w:lang w:eastAsia="zh-CN"/>
        </w:rPr>
        <w:t>万元（含）以上通用设备</w:t>
      </w:r>
      <w:r>
        <w:rPr>
          <w:sz w:val="27"/>
          <w:szCs w:val="27"/>
          <w:shd w:val="clear" w:fill="FFFFFF"/>
          <w:lang w:val="en-US"/>
        </w:rPr>
        <w:t>0</w:t>
      </w:r>
      <w:r>
        <w:rPr>
          <w:sz w:val="27"/>
          <w:szCs w:val="27"/>
          <w:shd w:val="clear" w:fill="FFFFFF"/>
          <w:lang w:eastAsia="zh-CN"/>
        </w:rPr>
        <w:t>台（套），单价</w:t>
      </w:r>
      <w:r>
        <w:rPr>
          <w:sz w:val="27"/>
          <w:szCs w:val="27"/>
          <w:shd w:val="clear" w:fill="FFFFFF"/>
          <w:lang w:val="en-US"/>
        </w:rPr>
        <w:t>100</w:t>
      </w:r>
      <w:r>
        <w:rPr>
          <w:sz w:val="27"/>
          <w:szCs w:val="27"/>
          <w:shd w:val="clear" w:fill="FFFFFF"/>
          <w:lang w:eastAsia="zh-CN"/>
        </w:rPr>
        <w:t>万元（含）以上专用设备</w:t>
      </w:r>
      <w:r>
        <w:rPr>
          <w:sz w:val="27"/>
          <w:szCs w:val="27"/>
          <w:shd w:val="clear" w:fill="FFFFFF"/>
          <w:lang w:val="en-US"/>
        </w:rPr>
        <w:t>0</w:t>
      </w:r>
      <w:r>
        <w:rPr>
          <w:sz w:val="27"/>
          <w:szCs w:val="27"/>
          <w:shd w:val="clear" w:fill="FFFFFF"/>
          <w:lang w:eastAsia="zh-CN"/>
        </w:rPr>
        <w:t>台（套）。</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（四）政府采购支出情况说明。</w:t>
      </w:r>
    </w:p>
    <w:p>
      <w:pPr>
        <w:pStyle w:val="2"/>
        <w:shd w:val="clear" w:fill="FFFFFF"/>
        <w:rPr>
          <w:sz w:val="27"/>
          <w:szCs w:val="27"/>
          <w:shd w:val="clear" w:fill="FFFFFF"/>
          <w:lang w:val="en-US"/>
        </w:rPr>
      </w:pPr>
      <w:r>
        <w:rPr>
          <w:sz w:val="27"/>
          <w:szCs w:val="27"/>
          <w:shd w:val="clear" w:fill="FFFFFF"/>
          <w:lang w:val="en-US"/>
        </w:rPr>
        <w:t>  2021</w:t>
      </w:r>
      <w:r>
        <w:rPr>
          <w:sz w:val="27"/>
          <w:szCs w:val="27"/>
          <w:shd w:val="clear" w:fill="FFFFFF"/>
          <w:lang w:eastAsia="zh-CN"/>
        </w:rPr>
        <w:t>年度本部门政府采购支出总额</w:t>
      </w:r>
      <w:r>
        <w:rPr>
          <w:sz w:val="27"/>
          <w:szCs w:val="27"/>
          <w:shd w:val="clear" w:fill="FFFFFF"/>
          <w:lang w:val="en-US"/>
        </w:rPr>
        <w:t>0.00</w:t>
      </w:r>
      <w:r>
        <w:rPr>
          <w:sz w:val="27"/>
          <w:szCs w:val="27"/>
          <w:shd w:val="clear" w:fill="FFFFFF"/>
          <w:lang w:eastAsia="zh-CN"/>
        </w:rPr>
        <w:t>万元，其中：政府采购货物支出</w:t>
      </w:r>
      <w:r>
        <w:rPr>
          <w:sz w:val="27"/>
          <w:szCs w:val="27"/>
          <w:shd w:val="clear" w:fill="FFFFFF"/>
          <w:lang w:val="en-US"/>
        </w:rPr>
        <w:t>0.00</w:t>
      </w:r>
      <w:r>
        <w:rPr>
          <w:sz w:val="27"/>
          <w:szCs w:val="27"/>
          <w:shd w:val="clear" w:fill="FFFFFF"/>
          <w:lang w:eastAsia="zh-CN"/>
        </w:rPr>
        <w:t>万元、政府采购工程支出</w:t>
      </w:r>
      <w:r>
        <w:rPr>
          <w:sz w:val="27"/>
          <w:szCs w:val="27"/>
          <w:shd w:val="clear" w:fill="FFFFFF"/>
          <w:lang w:val="en-US"/>
        </w:rPr>
        <w:t>0.00</w:t>
      </w:r>
      <w:r>
        <w:rPr>
          <w:sz w:val="27"/>
          <w:szCs w:val="27"/>
          <w:shd w:val="clear" w:fill="FFFFFF"/>
          <w:lang w:eastAsia="zh-CN"/>
        </w:rPr>
        <w:t>万元、政府采购服务支出</w:t>
      </w:r>
      <w:r>
        <w:rPr>
          <w:sz w:val="27"/>
          <w:szCs w:val="27"/>
          <w:shd w:val="clear" w:fill="FFFFFF"/>
          <w:lang w:val="en-US"/>
        </w:rPr>
        <w:t>0.00</w:t>
      </w:r>
      <w:r>
        <w:rPr>
          <w:sz w:val="27"/>
          <w:szCs w:val="27"/>
          <w:shd w:val="clear" w:fill="FFFFFF"/>
          <w:lang w:eastAsia="zh-CN"/>
        </w:rPr>
        <w:t>万元。授予中小企业合同金额</w:t>
      </w:r>
      <w:r>
        <w:rPr>
          <w:sz w:val="27"/>
          <w:szCs w:val="27"/>
          <w:shd w:val="clear" w:fill="FFFFFF"/>
          <w:lang w:val="en-US"/>
        </w:rPr>
        <w:t>0.00</w:t>
      </w:r>
      <w:r>
        <w:rPr>
          <w:sz w:val="27"/>
          <w:szCs w:val="27"/>
          <w:shd w:val="clear" w:fill="FFFFFF"/>
          <w:lang w:eastAsia="zh-CN"/>
        </w:rPr>
        <w:t>万元，占政府采购支出总额的</w:t>
      </w:r>
      <w:r>
        <w:rPr>
          <w:sz w:val="27"/>
          <w:szCs w:val="27"/>
          <w:shd w:val="clear" w:fill="FFFFFF"/>
          <w:lang w:val="en-US"/>
        </w:rPr>
        <w:t>%</w:t>
      </w:r>
      <w:r>
        <w:rPr>
          <w:sz w:val="27"/>
          <w:szCs w:val="27"/>
          <w:shd w:val="clear" w:fill="FFFFFF"/>
          <w:lang w:eastAsia="zh-CN"/>
        </w:rPr>
        <w:t>，其中：授予小微企业合同金额</w:t>
      </w:r>
      <w:r>
        <w:rPr>
          <w:sz w:val="27"/>
          <w:szCs w:val="27"/>
          <w:shd w:val="clear" w:fill="FFFFFF"/>
          <w:lang w:val="en-US"/>
        </w:rPr>
        <w:t>0.00</w:t>
      </w:r>
      <w:r>
        <w:rPr>
          <w:sz w:val="27"/>
          <w:szCs w:val="27"/>
          <w:shd w:val="clear" w:fill="FFFFFF"/>
          <w:lang w:eastAsia="zh-CN"/>
        </w:rPr>
        <w:t>万元，占政府采购支出总额的</w:t>
      </w:r>
      <w:r>
        <w:rPr>
          <w:sz w:val="27"/>
          <w:szCs w:val="27"/>
          <w:shd w:val="clear" w:fill="FFFFFF"/>
          <w:lang w:val="en-US"/>
        </w:rPr>
        <w:t>%</w:t>
      </w:r>
      <w:r>
        <w:rPr>
          <w:sz w:val="27"/>
          <w:szCs w:val="27"/>
          <w:shd w:val="clear" w:fill="FFFFFF"/>
          <w:lang w:eastAsia="zh-CN"/>
        </w:rPr>
        <w:t>。</w:t>
      </w:r>
    </w:p>
    <w:p>
      <w:pPr>
        <w:pStyle w:val="2"/>
        <w:shd w:val="clear" w:fill="FFFFFF"/>
        <w:snapToGrid w:val="0"/>
        <w:rPr>
          <w:bCs/>
          <w:sz w:val="27"/>
          <w:szCs w:val="27"/>
          <w:shd w:val="clear" w:fill="FFFFFF"/>
          <w:lang w:val="en-US"/>
        </w:rPr>
      </w:pPr>
      <w:r>
        <w:rPr>
          <w:rStyle w:val="5"/>
          <w:rFonts w:hint="eastAsia" w:ascii="宋体" w:hAnsi="宋体" w:eastAsia="宋体" w:cs="宋体"/>
          <w:b w:val="0"/>
          <w:bCs/>
          <w:sz w:val="27"/>
          <w:szCs w:val="27"/>
          <w:shd w:val="clear" w:fill="FFFFFF"/>
          <w:lang w:val="en-US"/>
        </w:rPr>
        <w:t>2021</w:t>
      </w:r>
      <w:r>
        <w:rPr>
          <w:rStyle w:val="5"/>
          <w:rFonts w:hint="eastAsia" w:ascii="宋体" w:hAnsi="宋体" w:eastAsia="宋体" w:cs="宋体"/>
          <w:b w:val="0"/>
          <w:bCs/>
          <w:sz w:val="27"/>
          <w:szCs w:val="27"/>
          <w:shd w:val="clear" w:fill="FFFFFF"/>
          <w:lang w:eastAsia="zh-CN"/>
        </w:rPr>
        <w:t>年本单位未发生政府采购事项，无相关支出数据。</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五、预算绩效管理情况说明</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（一）预算绩效管理工作开展情况。</w:t>
      </w:r>
    </w:p>
    <w:p>
      <w:pPr>
        <w:pStyle w:val="2"/>
        <w:shd w:val="clear" w:fill="FFFFFF"/>
        <w:rPr>
          <w:sz w:val="32"/>
          <w:szCs w:val="32"/>
          <w:shd w:val="clear" w:fill="FFFFFF"/>
          <w:lang w:val="en-US"/>
        </w:rPr>
      </w:pPr>
      <w:r>
        <w:rPr>
          <w:sz w:val="32"/>
          <w:szCs w:val="32"/>
          <w:shd w:val="clear" w:fill="FFFFFF"/>
          <w:lang w:val="en-US"/>
        </w:rPr>
        <w:t xml:space="preserve">    </w:t>
      </w:r>
      <w:r>
        <w:rPr>
          <w:sz w:val="32"/>
          <w:szCs w:val="32"/>
          <w:shd w:val="clear" w:fill="FFFFFF"/>
          <w:lang w:eastAsia="zh-CN"/>
        </w:rPr>
        <w:t>根据预算绩效管理要求，本部门对部门整体开展了绩效自评，其中，以填报目标自评表形式开展自评</w:t>
      </w:r>
      <w:r>
        <w:rPr>
          <w:sz w:val="32"/>
          <w:szCs w:val="32"/>
          <w:shd w:val="clear" w:fill="FFFFFF"/>
          <w:lang w:val="en-US"/>
        </w:rPr>
        <w:t>5</w:t>
      </w:r>
      <w:r>
        <w:rPr>
          <w:sz w:val="32"/>
          <w:szCs w:val="32"/>
          <w:shd w:val="clear" w:fill="FFFFFF"/>
          <w:lang w:eastAsia="zh-CN"/>
        </w:rPr>
        <w:t>项，涉及资金</w:t>
      </w:r>
      <w:r>
        <w:rPr>
          <w:sz w:val="32"/>
          <w:szCs w:val="32"/>
          <w:shd w:val="clear" w:fill="FFFFFF"/>
          <w:lang w:val="en-US"/>
        </w:rPr>
        <w:t>121</w:t>
      </w:r>
      <w:r>
        <w:rPr>
          <w:sz w:val="32"/>
          <w:szCs w:val="32"/>
          <w:shd w:val="clear" w:fill="FFFFFF"/>
          <w:lang w:eastAsia="zh-CN"/>
        </w:rPr>
        <w:t>万元。</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（二）绩效自评结果</w:t>
      </w:r>
    </w:p>
    <w:p>
      <w:pPr>
        <w:pStyle w:val="2"/>
        <w:shd w:val="clear" w:fill="FFFFFF"/>
        <w:rPr>
          <w:rFonts w:hint="eastAsia" w:ascii="宋体" w:hAnsi="宋体" w:eastAsia="宋体" w:cs="宋体"/>
          <w:sz w:val="27"/>
          <w:szCs w:val="27"/>
          <w:shd w:val="clear" w:fill="FFFFFF"/>
          <w:lang w:val="en-US"/>
        </w:rPr>
      </w:pPr>
      <w:r>
        <w:rPr>
          <w:rStyle w:val="5"/>
          <w:rFonts w:hint="eastAsia" w:ascii="宋体" w:hAnsi="宋体" w:eastAsia="宋体" w:cs="宋体"/>
          <w:sz w:val="27"/>
          <w:szCs w:val="27"/>
          <w:shd w:val="clear" w:fill="FFFFFF"/>
          <w:lang w:val="en-US"/>
        </w:rPr>
        <w:t>1.</w:t>
      </w:r>
      <w:r>
        <w:rPr>
          <w:rStyle w:val="5"/>
          <w:rFonts w:hint="eastAsia" w:ascii="宋体" w:hAnsi="宋体" w:eastAsia="宋体" w:cs="宋体"/>
          <w:sz w:val="27"/>
          <w:szCs w:val="27"/>
          <w:shd w:val="clear" w:fill="FFFFFF"/>
          <w:lang w:eastAsia="zh-CN"/>
        </w:rPr>
        <w:t>绩效自评表</w:t>
      </w:r>
    </w:p>
    <w:tbl>
      <w:tblPr>
        <w:tblStyle w:val="3"/>
        <w:tblW w:w="9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0"/>
        <w:gridCol w:w="2680"/>
        <w:gridCol w:w="660"/>
        <w:gridCol w:w="660"/>
        <w:gridCol w:w="620"/>
        <w:gridCol w:w="178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120" w:type="dxa"/>
            <w:gridSpan w:val="7"/>
            <w:shd w:val="clear" w:color="auto" w:fill="auto"/>
            <w:vAlign w:val="center"/>
          </w:tcPr>
          <w:p>
            <w:pPr>
              <w:jc w:val="center"/>
              <w:rPr>
                <w:rFonts w:hint="eastAsia" w:ascii="微软雅黑" w:hAnsi="微软雅黑" w:eastAsia="微软雅黑" w:cs="微软雅黑"/>
                <w:color w:val="000000"/>
                <w:sz w:val="36"/>
                <w:szCs w:val="36"/>
                <w:lang w:val="en-US"/>
              </w:rPr>
            </w:pPr>
            <w:r>
              <w:rPr>
                <w:rFonts w:hint="eastAsia" w:ascii="微软雅黑" w:hAnsi="微软雅黑" w:eastAsia="微软雅黑" w:cs="微软雅黑"/>
                <w:color w:val="000000"/>
                <w:sz w:val="36"/>
                <w:szCs w:val="36"/>
                <w:lang w:val="en-US"/>
              </w:rPr>
              <w:t>2021</w:t>
            </w:r>
            <w:r>
              <w:rPr>
                <w:rFonts w:hint="eastAsia" w:ascii="微软雅黑" w:hAnsi="微软雅黑" w:eastAsia="微软雅黑" w:cs="微软雅黑"/>
                <w:color w:val="000000"/>
                <w:sz w:val="36"/>
                <w:szCs w:val="36"/>
              </w:rPr>
              <w:t>年部门（单位）整体绩效目标自评表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部门（单位）名称</w:t>
            </w:r>
          </w:p>
        </w:tc>
        <w:tc>
          <w:tcPr>
            <w:tcW w:w="2680" w:type="dxa"/>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color w:val="000000"/>
                <w:sz w:val="22"/>
                <w:szCs w:val="22"/>
                <w:lang w:val="en-US"/>
              </w:rPr>
            </w:pPr>
            <w:r>
              <w:rPr>
                <w:rFonts w:hint="eastAsia" w:ascii="仿宋" w:hAnsi="仿宋" w:eastAsia="仿宋" w:cs="仿宋"/>
                <w:color w:val="000000"/>
                <w:sz w:val="22"/>
                <w:szCs w:val="22"/>
              </w:rPr>
              <w:t>忠县兴峰乡综合行政执法大队</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预算支出总量（万元）</w:t>
            </w:r>
          </w:p>
        </w:tc>
        <w:tc>
          <w:tcPr>
            <w:tcW w:w="6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78</w:t>
            </w:r>
          </w:p>
        </w:tc>
        <w:tc>
          <w:tcPr>
            <w:tcW w:w="17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实际支出总量（万元）</w:t>
            </w:r>
          </w:p>
        </w:tc>
        <w:tc>
          <w:tcPr>
            <w:tcW w:w="17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940" w:type="dxa"/>
            <w:tcBorders>
              <w:top w:val="nil"/>
              <w:left w:val="single" w:color="auto" w:sz="4" w:space="0"/>
              <w:bottom w:val="nil"/>
              <w:right w:val="nil"/>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　</w:t>
            </w:r>
          </w:p>
        </w:tc>
        <w:tc>
          <w:tcPr>
            <w:tcW w:w="4620" w:type="dxa"/>
            <w:gridSpan w:val="4"/>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 xml:space="preserve">年初设定目标 </w:t>
            </w:r>
          </w:p>
        </w:tc>
        <w:tc>
          <w:tcPr>
            <w:tcW w:w="356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 xml:space="preserve">全年实际完成情况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0" w:type="dxa"/>
            <w:vMerge w:val="restart"/>
            <w:tcBorders>
              <w:top w:val="single" w:color="auto" w:sz="4" w:space="0"/>
              <w:left w:val="single" w:color="auto" w:sz="4" w:space="0"/>
              <w:bottom w:val="single" w:color="000000" w:sz="4" w:space="0"/>
              <w:right w:val="nil"/>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当年整体绩效目标</w:t>
            </w:r>
          </w:p>
        </w:tc>
        <w:tc>
          <w:tcPr>
            <w:tcW w:w="4620" w:type="dxa"/>
            <w:gridSpan w:val="4"/>
            <w:vMerge w:val="restart"/>
            <w:tcBorders>
              <w:top w:val="single" w:color="auto" w:sz="4" w:space="0"/>
              <w:left w:val="single" w:color="auto" w:sz="4" w:space="0"/>
              <w:bottom w:val="single" w:color="000000" w:sz="4" w:space="0"/>
              <w:right w:val="nil"/>
            </w:tcBorders>
            <w:shd w:val="clear" w:color="auto" w:fill="auto"/>
            <w:vAlign w:val="center"/>
          </w:tcPr>
          <w:p>
            <w:pPr>
              <w:rPr>
                <w:rFonts w:hint="eastAsia" w:ascii="仿宋" w:hAnsi="仿宋" w:eastAsia="仿宋" w:cs="仿宋"/>
                <w:color w:val="000000"/>
                <w:lang w:val="en-US"/>
              </w:rPr>
            </w:pPr>
            <w:r>
              <w:rPr>
                <w:rFonts w:hint="eastAsia" w:ascii="仿宋" w:hAnsi="仿宋" w:eastAsia="仿宋" w:cs="仿宋"/>
                <w:color w:val="000000"/>
              </w:rPr>
              <w:t>卫生督查与执法覆盖率达</w:t>
            </w:r>
            <w:r>
              <w:rPr>
                <w:rFonts w:hint="eastAsia" w:ascii="仿宋" w:hAnsi="仿宋" w:eastAsia="仿宋" w:cs="仿宋"/>
                <w:color w:val="000000"/>
                <w:lang w:val="en-US"/>
              </w:rPr>
              <w:t>90%</w:t>
            </w:r>
            <w:r>
              <w:rPr>
                <w:rFonts w:hint="eastAsia" w:ascii="仿宋" w:hAnsi="仿宋" w:eastAsia="仿宋" w:cs="仿宋"/>
                <w:color w:val="000000"/>
              </w:rPr>
              <w:t>；消防日常安全检查与执法覆盖率达</w:t>
            </w:r>
            <w:r>
              <w:rPr>
                <w:rFonts w:hint="eastAsia" w:ascii="仿宋" w:hAnsi="仿宋" w:eastAsia="仿宋" w:cs="仿宋"/>
                <w:color w:val="000000"/>
                <w:lang w:val="en-US"/>
              </w:rPr>
              <w:t>95%</w:t>
            </w:r>
            <w:r>
              <w:rPr>
                <w:rFonts w:hint="eastAsia" w:ascii="仿宋" w:hAnsi="仿宋" w:eastAsia="仿宋" w:cs="仿宋"/>
                <w:color w:val="000000"/>
              </w:rPr>
              <w:t>；规划建设执法覆盖率达</w:t>
            </w:r>
            <w:r>
              <w:rPr>
                <w:rFonts w:hint="eastAsia" w:ascii="仿宋" w:hAnsi="仿宋" w:eastAsia="仿宋" w:cs="仿宋"/>
                <w:color w:val="000000"/>
                <w:lang w:val="en-US"/>
              </w:rPr>
              <w:t>100%</w:t>
            </w:r>
            <w:r>
              <w:rPr>
                <w:rFonts w:hint="eastAsia" w:ascii="仿宋" w:hAnsi="仿宋" w:eastAsia="仿宋" w:cs="仿宋"/>
                <w:color w:val="000000"/>
              </w:rPr>
              <w:t>；农业日常巡查与行政执法覆盖率达</w:t>
            </w:r>
            <w:r>
              <w:rPr>
                <w:rFonts w:hint="eastAsia" w:ascii="仿宋" w:hAnsi="仿宋" w:eastAsia="仿宋" w:cs="仿宋"/>
                <w:color w:val="000000"/>
                <w:lang w:val="en-US"/>
              </w:rPr>
              <w:t>60%</w:t>
            </w:r>
            <w:r>
              <w:rPr>
                <w:rFonts w:hint="eastAsia" w:ascii="仿宋" w:hAnsi="仿宋" w:eastAsia="仿宋" w:cs="仿宋"/>
                <w:color w:val="000000"/>
              </w:rPr>
              <w:t>；林业日常巡查与行政执法覆盖率达</w:t>
            </w:r>
            <w:r>
              <w:rPr>
                <w:rFonts w:hint="eastAsia" w:ascii="仿宋" w:hAnsi="仿宋" w:eastAsia="仿宋" w:cs="仿宋"/>
                <w:color w:val="000000"/>
                <w:lang w:val="en-US"/>
              </w:rPr>
              <w:t>63%</w:t>
            </w:r>
            <w:r>
              <w:rPr>
                <w:rFonts w:hint="eastAsia" w:ascii="仿宋" w:hAnsi="仿宋" w:eastAsia="仿宋" w:cs="仿宋"/>
                <w:color w:val="000000"/>
              </w:rPr>
              <w:t>。</w:t>
            </w:r>
          </w:p>
        </w:tc>
        <w:tc>
          <w:tcPr>
            <w:tcW w:w="356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lang w:val="en-US"/>
              </w:rPr>
            </w:pPr>
            <w:r>
              <w:rPr>
                <w:rFonts w:hint="eastAsia" w:ascii="仿宋" w:hAnsi="仿宋" w:eastAsia="仿宋" w:cs="仿宋"/>
                <w:color w:val="000000"/>
                <w:sz w:val="22"/>
                <w:szCs w:val="22"/>
              </w:rPr>
              <w:t>卫生督查与执法覆盖率达</w:t>
            </w:r>
            <w:r>
              <w:rPr>
                <w:rFonts w:hint="eastAsia" w:ascii="仿宋" w:hAnsi="仿宋" w:eastAsia="仿宋" w:cs="仿宋"/>
                <w:color w:val="000000"/>
                <w:sz w:val="22"/>
                <w:szCs w:val="22"/>
                <w:lang w:val="en-US"/>
              </w:rPr>
              <w:t>90%</w:t>
            </w:r>
            <w:r>
              <w:rPr>
                <w:rFonts w:hint="eastAsia" w:ascii="仿宋" w:hAnsi="仿宋" w:eastAsia="仿宋" w:cs="仿宋"/>
                <w:color w:val="000000"/>
                <w:sz w:val="22"/>
                <w:szCs w:val="22"/>
              </w:rPr>
              <w:t>；消防日常安全检查与执法覆盖率达</w:t>
            </w:r>
            <w:r>
              <w:rPr>
                <w:rFonts w:hint="eastAsia" w:ascii="仿宋" w:hAnsi="仿宋" w:eastAsia="仿宋" w:cs="仿宋"/>
                <w:color w:val="000000"/>
                <w:sz w:val="22"/>
                <w:szCs w:val="22"/>
                <w:lang w:val="en-US"/>
              </w:rPr>
              <w:t>95%</w:t>
            </w:r>
            <w:r>
              <w:rPr>
                <w:rFonts w:hint="eastAsia" w:ascii="仿宋" w:hAnsi="仿宋" w:eastAsia="仿宋" w:cs="仿宋"/>
                <w:color w:val="000000"/>
                <w:sz w:val="22"/>
                <w:szCs w:val="22"/>
              </w:rPr>
              <w:t>；规划建设执法覆盖率达</w:t>
            </w:r>
            <w:r>
              <w:rPr>
                <w:rFonts w:hint="eastAsia" w:ascii="仿宋" w:hAnsi="仿宋" w:eastAsia="仿宋" w:cs="仿宋"/>
                <w:color w:val="000000"/>
                <w:sz w:val="22"/>
                <w:szCs w:val="22"/>
                <w:lang w:val="en-US"/>
              </w:rPr>
              <w:t>100%</w:t>
            </w:r>
            <w:r>
              <w:rPr>
                <w:rFonts w:hint="eastAsia" w:ascii="仿宋" w:hAnsi="仿宋" w:eastAsia="仿宋" w:cs="仿宋"/>
                <w:color w:val="000000"/>
                <w:sz w:val="22"/>
                <w:szCs w:val="22"/>
              </w:rPr>
              <w:t>；农业日常巡查与行政执法覆盖率达</w:t>
            </w:r>
            <w:r>
              <w:rPr>
                <w:rFonts w:hint="eastAsia" w:ascii="仿宋" w:hAnsi="仿宋" w:eastAsia="仿宋" w:cs="仿宋"/>
                <w:color w:val="000000"/>
                <w:sz w:val="22"/>
                <w:szCs w:val="22"/>
                <w:lang w:val="en-US"/>
              </w:rPr>
              <w:t>60%</w:t>
            </w:r>
            <w:r>
              <w:rPr>
                <w:rFonts w:hint="eastAsia" w:ascii="仿宋" w:hAnsi="仿宋" w:eastAsia="仿宋" w:cs="仿宋"/>
                <w:color w:val="000000"/>
                <w:sz w:val="22"/>
                <w:szCs w:val="22"/>
              </w:rPr>
              <w:t>；林业日常巡查与行政执法覆盖率达</w:t>
            </w:r>
            <w:r>
              <w:rPr>
                <w:rFonts w:hint="eastAsia" w:ascii="仿宋" w:hAnsi="仿宋" w:eastAsia="仿宋" w:cs="仿宋"/>
                <w:color w:val="000000"/>
                <w:sz w:val="22"/>
                <w:szCs w:val="22"/>
                <w:lang w:val="en-US"/>
              </w:rPr>
              <w:t>63%</w:t>
            </w:r>
            <w:r>
              <w:rPr>
                <w:rFonts w:hint="eastAsia" w:ascii="仿宋" w:hAnsi="仿宋" w:eastAsia="仿宋" w:cs="仿宋"/>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620" w:type="dxa"/>
            <w:gridSpan w:val="4"/>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620" w:type="dxa"/>
            <w:gridSpan w:val="4"/>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620" w:type="dxa"/>
            <w:gridSpan w:val="4"/>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620" w:type="dxa"/>
            <w:gridSpan w:val="4"/>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620" w:type="dxa"/>
            <w:gridSpan w:val="4"/>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620" w:type="dxa"/>
            <w:gridSpan w:val="4"/>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620" w:type="dxa"/>
            <w:gridSpan w:val="4"/>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620" w:type="dxa"/>
            <w:gridSpan w:val="4"/>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620" w:type="dxa"/>
            <w:gridSpan w:val="4"/>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4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620" w:type="dxa"/>
            <w:gridSpan w:val="4"/>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绩效指标</w:t>
            </w:r>
          </w:p>
        </w:tc>
        <w:tc>
          <w:tcPr>
            <w:tcW w:w="26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指标</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指标权重</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计量单位</w:t>
            </w:r>
          </w:p>
        </w:tc>
        <w:tc>
          <w:tcPr>
            <w:tcW w:w="62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指标性质</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实际完成指标值</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 xml:space="preserve">未完成原因和改进措施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4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c>
          <w:tcPr>
            <w:tcW w:w="2680"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sz w:val="16"/>
                <w:szCs w:val="16"/>
                <w:lang w:val="en-US"/>
              </w:rPr>
            </w:pPr>
            <w:r>
              <w:rPr>
                <w:rFonts w:ascii="Arial" w:hAnsi="Arial" w:cs="Arial"/>
                <w:sz w:val="16"/>
                <w:szCs w:val="16"/>
              </w:rPr>
              <w:t>卫生督查与执法覆盖率</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cs="Arial"/>
                <w:lang w:val="en-US"/>
              </w:rPr>
            </w:pPr>
            <w:r>
              <w:rPr>
                <w:rFonts w:hint="default" w:ascii="Arial" w:hAnsi="Arial" w:cs="Arial"/>
                <w:lang w:val="en-US"/>
              </w:rPr>
              <w:t>30</w:t>
            </w:r>
          </w:p>
        </w:tc>
        <w:tc>
          <w:tcPr>
            <w:tcW w:w="660" w:type="dxa"/>
            <w:tcBorders>
              <w:top w:val="nil"/>
              <w:left w:val="nil"/>
              <w:bottom w:val="single" w:color="auto" w:sz="4" w:space="0"/>
              <w:right w:val="single" w:color="auto" w:sz="4" w:space="0"/>
            </w:tcBorders>
            <w:shd w:val="clear" w:color="auto" w:fill="auto"/>
            <w:noWrap/>
            <w:vAlign w:val="center"/>
          </w:tcPr>
          <w:p>
            <w:pPr>
              <w:jc w:val="center"/>
              <w:rPr>
                <w:color w:val="000000"/>
                <w:lang w:val="en-US"/>
              </w:rPr>
            </w:pPr>
            <w:r>
              <w:rPr>
                <w:color w:val="000000"/>
                <w:lang w:val="en-US"/>
              </w:rPr>
              <w:t>%</w:t>
            </w:r>
          </w:p>
        </w:tc>
        <w:tc>
          <w:tcPr>
            <w:tcW w:w="620" w:type="dxa"/>
            <w:tcBorders>
              <w:top w:val="nil"/>
              <w:left w:val="nil"/>
              <w:bottom w:val="single" w:color="auto" w:sz="4" w:space="0"/>
              <w:right w:val="single" w:color="auto" w:sz="4" w:space="0"/>
            </w:tcBorders>
            <w:shd w:val="clear" w:color="auto" w:fill="auto"/>
            <w:noWrap/>
            <w:vAlign w:val="center"/>
          </w:tcPr>
          <w:p>
            <w:pPr>
              <w:jc w:val="center"/>
              <w:rPr>
                <w:color w:val="000000"/>
                <w:lang w:val="en-US"/>
              </w:rPr>
            </w:pPr>
            <w:r>
              <w:rPr>
                <w:color w:val="000000"/>
              </w:rPr>
              <w:t>≥</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cs="Arial"/>
                <w:lang w:val="en-US"/>
              </w:rPr>
            </w:pPr>
            <w:r>
              <w:rPr>
                <w:rFonts w:hint="default" w:ascii="Arial" w:hAnsi="Arial" w:cs="Arial"/>
                <w:lang w:val="en-US"/>
              </w:rPr>
              <w:t>90</w:t>
            </w:r>
          </w:p>
        </w:tc>
        <w:tc>
          <w:tcPr>
            <w:tcW w:w="1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sz w:val="22"/>
                <w:szCs w:val="22"/>
                <w:lang w:val="en-US"/>
              </w:rPr>
            </w:pPr>
            <w:r>
              <w:rPr>
                <w:rFonts w:hint="eastAsia" w:ascii="仿宋" w:hAnsi="仿宋" w:eastAsia="仿宋" w:cs="仿宋"/>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4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c>
          <w:tcPr>
            <w:tcW w:w="2680"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sz w:val="16"/>
                <w:szCs w:val="16"/>
                <w:lang w:val="en-US"/>
              </w:rPr>
            </w:pPr>
            <w:r>
              <w:rPr>
                <w:rFonts w:ascii="Arial" w:hAnsi="Arial" w:cs="Arial"/>
                <w:sz w:val="16"/>
                <w:szCs w:val="16"/>
              </w:rPr>
              <w:t>消防日常安全检查与执法覆盖率</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cs="Arial"/>
                <w:lang w:val="en-US"/>
              </w:rPr>
            </w:pPr>
            <w:r>
              <w:rPr>
                <w:rFonts w:hint="default" w:ascii="Arial" w:hAnsi="Arial" w:cs="Arial"/>
                <w:lang w:val="en-US"/>
              </w:rPr>
              <w:t>30</w:t>
            </w:r>
          </w:p>
        </w:tc>
        <w:tc>
          <w:tcPr>
            <w:tcW w:w="660" w:type="dxa"/>
            <w:tcBorders>
              <w:top w:val="nil"/>
              <w:left w:val="nil"/>
              <w:bottom w:val="single" w:color="auto" w:sz="4" w:space="0"/>
              <w:right w:val="single" w:color="auto" w:sz="4" w:space="0"/>
            </w:tcBorders>
            <w:shd w:val="clear" w:color="auto" w:fill="auto"/>
            <w:noWrap/>
            <w:vAlign w:val="center"/>
          </w:tcPr>
          <w:p>
            <w:pPr>
              <w:jc w:val="center"/>
              <w:rPr>
                <w:color w:val="000000"/>
                <w:lang w:val="en-US"/>
              </w:rPr>
            </w:pPr>
            <w:r>
              <w:rPr>
                <w:color w:val="000000"/>
                <w:lang w:val="en-US"/>
              </w:rPr>
              <w:t>%</w:t>
            </w:r>
          </w:p>
        </w:tc>
        <w:tc>
          <w:tcPr>
            <w:tcW w:w="620" w:type="dxa"/>
            <w:tcBorders>
              <w:top w:val="nil"/>
              <w:left w:val="nil"/>
              <w:bottom w:val="single" w:color="auto" w:sz="4" w:space="0"/>
              <w:right w:val="single" w:color="auto" w:sz="4" w:space="0"/>
            </w:tcBorders>
            <w:shd w:val="clear" w:color="auto" w:fill="auto"/>
            <w:noWrap/>
            <w:vAlign w:val="center"/>
          </w:tcPr>
          <w:p>
            <w:pPr>
              <w:jc w:val="center"/>
              <w:rPr>
                <w:color w:val="000000"/>
                <w:lang w:val="en-US"/>
              </w:rPr>
            </w:pPr>
            <w:r>
              <w:rPr>
                <w:color w:val="000000"/>
              </w:rPr>
              <w:t>≥</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cs="Arial"/>
                <w:lang w:val="en-US"/>
              </w:rPr>
            </w:pPr>
            <w:r>
              <w:rPr>
                <w:rFonts w:hint="default" w:ascii="Arial" w:hAnsi="Arial" w:cs="Arial"/>
                <w:lang w:val="en-US"/>
              </w:rPr>
              <w:t>95</w:t>
            </w:r>
          </w:p>
        </w:tc>
        <w:tc>
          <w:tcPr>
            <w:tcW w:w="1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sz w:val="22"/>
                <w:szCs w:val="22"/>
                <w:lang w:val="en-US"/>
              </w:rPr>
            </w:pPr>
            <w:r>
              <w:rPr>
                <w:rFonts w:hint="eastAsia" w:ascii="仿宋" w:hAnsi="仿宋" w:eastAsia="仿宋" w:cs="仿宋"/>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4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c>
          <w:tcPr>
            <w:tcW w:w="2680"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sz w:val="16"/>
                <w:szCs w:val="16"/>
                <w:lang w:val="en-US"/>
              </w:rPr>
            </w:pPr>
            <w:r>
              <w:rPr>
                <w:rFonts w:ascii="Arial" w:hAnsi="Arial" w:cs="Arial"/>
                <w:sz w:val="16"/>
                <w:szCs w:val="16"/>
              </w:rPr>
              <w:t>规划建设执法覆盖率</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cs="Arial"/>
                <w:lang w:val="en-US"/>
              </w:rPr>
            </w:pPr>
            <w:r>
              <w:rPr>
                <w:rFonts w:hint="default" w:ascii="Arial" w:hAnsi="Arial" w:cs="Arial"/>
                <w:lang w:val="en-US"/>
              </w:rPr>
              <w:t>15</w:t>
            </w:r>
          </w:p>
        </w:tc>
        <w:tc>
          <w:tcPr>
            <w:tcW w:w="660" w:type="dxa"/>
            <w:tcBorders>
              <w:top w:val="nil"/>
              <w:left w:val="nil"/>
              <w:bottom w:val="single" w:color="auto" w:sz="4" w:space="0"/>
              <w:right w:val="single" w:color="auto" w:sz="4" w:space="0"/>
            </w:tcBorders>
            <w:shd w:val="clear" w:color="auto" w:fill="auto"/>
            <w:noWrap/>
            <w:vAlign w:val="center"/>
          </w:tcPr>
          <w:p>
            <w:pPr>
              <w:jc w:val="center"/>
              <w:rPr>
                <w:color w:val="000000"/>
                <w:lang w:val="en-US"/>
              </w:rPr>
            </w:pPr>
            <w:r>
              <w:rPr>
                <w:color w:val="000000"/>
                <w:lang w:val="en-US"/>
              </w:rPr>
              <w:t>%</w:t>
            </w:r>
          </w:p>
        </w:tc>
        <w:tc>
          <w:tcPr>
            <w:tcW w:w="620" w:type="dxa"/>
            <w:tcBorders>
              <w:top w:val="nil"/>
              <w:left w:val="nil"/>
              <w:bottom w:val="single" w:color="auto" w:sz="4" w:space="0"/>
              <w:right w:val="single" w:color="auto" w:sz="4" w:space="0"/>
            </w:tcBorders>
            <w:shd w:val="clear" w:color="auto" w:fill="auto"/>
            <w:noWrap/>
            <w:vAlign w:val="center"/>
          </w:tcPr>
          <w:p>
            <w:pPr>
              <w:jc w:val="center"/>
              <w:rPr>
                <w:color w:val="000000"/>
                <w:lang w:val="en-US"/>
              </w:rPr>
            </w:pPr>
            <w:r>
              <w:rPr>
                <w:color w:val="000000"/>
              </w:rPr>
              <w:t>≥</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cs="Arial"/>
                <w:lang w:val="en-US"/>
              </w:rPr>
            </w:pPr>
            <w:r>
              <w:rPr>
                <w:rFonts w:hint="default" w:ascii="Arial" w:hAnsi="Arial" w:cs="Arial"/>
                <w:lang w:val="en-US"/>
              </w:rPr>
              <w:t>100</w:t>
            </w:r>
          </w:p>
        </w:tc>
        <w:tc>
          <w:tcPr>
            <w:tcW w:w="1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sz w:val="22"/>
                <w:szCs w:val="22"/>
                <w:lang w:val="en-US"/>
              </w:rPr>
            </w:pPr>
            <w:r>
              <w:rPr>
                <w:rFonts w:hint="eastAsia" w:ascii="仿宋" w:hAnsi="仿宋" w:eastAsia="仿宋" w:cs="仿宋"/>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4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c>
          <w:tcPr>
            <w:tcW w:w="2680"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sz w:val="16"/>
                <w:szCs w:val="16"/>
                <w:lang w:val="en-US"/>
              </w:rPr>
            </w:pPr>
            <w:r>
              <w:rPr>
                <w:rFonts w:ascii="Arial" w:hAnsi="Arial" w:cs="Arial"/>
                <w:sz w:val="16"/>
                <w:szCs w:val="16"/>
              </w:rPr>
              <w:t>农业日常巡查与行政执法覆盖率</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cs="Arial"/>
                <w:lang w:val="en-US"/>
              </w:rPr>
            </w:pPr>
            <w:r>
              <w:rPr>
                <w:rFonts w:hint="default" w:ascii="Arial" w:hAnsi="Arial" w:cs="Arial"/>
                <w:lang w:val="en-US"/>
              </w:rPr>
              <w:t>15</w:t>
            </w:r>
          </w:p>
        </w:tc>
        <w:tc>
          <w:tcPr>
            <w:tcW w:w="660" w:type="dxa"/>
            <w:tcBorders>
              <w:top w:val="nil"/>
              <w:left w:val="nil"/>
              <w:bottom w:val="single" w:color="auto" w:sz="4" w:space="0"/>
              <w:right w:val="single" w:color="auto" w:sz="4" w:space="0"/>
            </w:tcBorders>
            <w:shd w:val="clear" w:color="auto" w:fill="auto"/>
            <w:noWrap/>
            <w:vAlign w:val="center"/>
          </w:tcPr>
          <w:p>
            <w:pPr>
              <w:jc w:val="center"/>
              <w:rPr>
                <w:color w:val="000000"/>
                <w:lang w:val="en-US"/>
              </w:rPr>
            </w:pPr>
            <w:r>
              <w:rPr>
                <w:color w:val="000000"/>
                <w:lang w:val="en-US"/>
              </w:rPr>
              <w:t>%</w:t>
            </w:r>
          </w:p>
        </w:tc>
        <w:tc>
          <w:tcPr>
            <w:tcW w:w="620" w:type="dxa"/>
            <w:tcBorders>
              <w:top w:val="nil"/>
              <w:left w:val="nil"/>
              <w:bottom w:val="single" w:color="auto" w:sz="4" w:space="0"/>
              <w:right w:val="single" w:color="auto" w:sz="4" w:space="0"/>
            </w:tcBorders>
            <w:shd w:val="clear" w:color="auto" w:fill="auto"/>
            <w:noWrap/>
            <w:vAlign w:val="center"/>
          </w:tcPr>
          <w:p>
            <w:pPr>
              <w:jc w:val="center"/>
              <w:rPr>
                <w:color w:val="000000"/>
                <w:lang w:val="en-US"/>
              </w:rPr>
            </w:pPr>
            <w:r>
              <w:rPr>
                <w:color w:val="000000"/>
              </w:rPr>
              <w:t>≥</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cs="Arial"/>
                <w:lang w:val="en-US"/>
              </w:rPr>
            </w:pPr>
            <w:r>
              <w:rPr>
                <w:rFonts w:hint="default" w:ascii="Arial" w:hAnsi="Arial" w:cs="Arial"/>
                <w:lang w:val="en-US"/>
              </w:rPr>
              <w:t>60</w:t>
            </w:r>
          </w:p>
        </w:tc>
        <w:tc>
          <w:tcPr>
            <w:tcW w:w="1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sz w:val="22"/>
                <w:szCs w:val="22"/>
                <w:lang w:val="en-US"/>
              </w:rPr>
            </w:pPr>
            <w:r>
              <w:rPr>
                <w:rFonts w:hint="eastAsia" w:ascii="仿宋" w:hAnsi="仿宋" w:eastAsia="仿宋" w:cs="仿宋"/>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4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c>
          <w:tcPr>
            <w:tcW w:w="2680" w:type="dxa"/>
            <w:tcBorders>
              <w:top w:val="nil"/>
              <w:left w:val="nil"/>
              <w:bottom w:val="single" w:color="auto" w:sz="4" w:space="0"/>
              <w:right w:val="single" w:color="auto" w:sz="4" w:space="0"/>
            </w:tcBorders>
            <w:shd w:val="clear" w:color="auto" w:fill="auto"/>
            <w:noWrap/>
            <w:vAlign w:val="center"/>
          </w:tcPr>
          <w:p>
            <w:pPr>
              <w:rPr>
                <w:rFonts w:hint="default" w:ascii="Arial" w:hAnsi="Arial" w:cs="Arial"/>
                <w:sz w:val="16"/>
                <w:szCs w:val="16"/>
                <w:lang w:val="en-US"/>
              </w:rPr>
            </w:pPr>
            <w:r>
              <w:rPr>
                <w:rFonts w:ascii="Arial" w:hAnsi="Arial" w:cs="Arial"/>
                <w:sz w:val="16"/>
                <w:szCs w:val="16"/>
              </w:rPr>
              <w:t>林业日常巡查与行政执法覆盖率</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cs="Arial"/>
                <w:lang w:val="en-US"/>
              </w:rPr>
            </w:pPr>
            <w:r>
              <w:rPr>
                <w:rFonts w:hint="default" w:ascii="Arial" w:hAnsi="Arial" w:cs="Arial"/>
                <w:lang w:val="en-US"/>
              </w:rPr>
              <w:t>10</w:t>
            </w:r>
          </w:p>
        </w:tc>
        <w:tc>
          <w:tcPr>
            <w:tcW w:w="660" w:type="dxa"/>
            <w:tcBorders>
              <w:top w:val="nil"/>
              <w:left w:val="nil"/>
              <w:bottom w:val="single" w:color="auto" w:sz="4" w:space="0"/>
              <w:right w:val="single" w:color="auto" w:sz="4" w:space="0"/>
            </w:tcBorders>
            <w:shd w:val="clear" w:color="auto" w:fill="auto"/>
            <w:noWrap/>
            <w:vAlign w:val="center"/>
          </w:tcPr>
          <w:p>
            <w:pPr>
              <w:jc w:val="center"/>
              <w:rPr>
                <w:color w:val="000000"/>
                <w:lang w:val="en-US"/>
              </w:rPr>
            </w:pPr>
            <w:r>
              <w:rPr>
                <w:color w:val="000000"/>
                <w:lang w:val="en-US"/>
              </w:rPr>
              <w:t>%</w:t>
            </w:r>
          </w:p>
        </w:tc>
        <w:tc>
          <w:tcPr>
            <w:tcW w:w="620" w:type="dxa"/>
            <w:tcBorders>
              <w:top w:val="nil"/>
              <w:left w:val="nil"/>
              <w:bottom w:val="single" w:color="auto" w:sz="4" w:space="0"/>
              <w:right w:val="single" w:color="auto" w:sz="4" w:space="0"/>
            </w:tcBorders>
            <w:shd w:val="clear" w:color="auto" w:fill="auto"/>
            <w:noWrap/>
            <w:vAlign w:val="center"/>
          </w:tcPr>
          <w:p>
            <w:pPr>
              <w:jc w:val="center"/>
              <w:rPr>
                <w:color w:val="000000"/>
                <w:lang w:val="en-US"/>
              </w:rPr>
            </w:pPr>
            <w:r>
              <w:rPr>
                <w:color w:val="000000"/>
              </w:rPr>
              <w:t>≥</w:t>
            </w:r>
          </w:p>
        </w:tc>
        <w:tc>
          <w:tcPr>
            <w:tcW w:w="1780" w:type="dxa"/>
            <w:tcBorders>
              <w:top w:val="nil"/>
              <w:left w:val="nil"/>
              <w:bottom w:val="single" w:color="auto" w:sz="4" w:space="0"/>
              <w:right w:val="single" w:color="auto" w:sz="4" w:space="0"/>
            </w:tcBorders>
            <w:shd w:val="clear" w:color="auto" w:fill="auto"/>
            <w:noWrap/>
            <w:vAlign w:val="center"/>
          </w:tcPr>
          <w:p>
            <w:pPr>
              <w:jc w:val="center"/>
              <w:rPr>
                <w:rFonts w:hint="default" w:ascii="Arial" w:hAnsi="Arial" w:cs="Arial"/>
                <w:lang w:val="en-US"/>
              </w:rPr>
            </w:pPr>
            <w:r>
              <w:rPr>
                <w:rFonts w:hint="default" w:ascii="Arial" w:hAnsi="Arial" w:cs="Arial"/>
                <w:lang w:val="en-US"/>
              </w:rPr>
              <w:t>63</w:t>
            </w:r>
          </w:p>
        </w:tc>
        <w:tc>
          <w:tcPr>
            <w:tcW w:w="1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sz w:val="22"/>
                <w:szCs w:val="22"/>
                <w:lang w:val="en-US"/>
              </w:rPr>
            </w:pPr>
            <w:r>
              <w:rPr>
                <w:rFonts w:hint="eastAsia" w:ascii="仿宋" w:hAnsi="仿宋" w:eastAsia="仿宋" w:cs="仿宋"/>
                <w:color w:val="000000"/>
                <w:sz w:val="22"/>
                <w:szCs w:val="22"/>
              </w:rPr>
              <w:t>　</w:t>
            </w:r>
          </w:p>
        </w:tc>
      </w:tr>
    </w:tbl>
    <w:p>
      <w:pPr>
        <w:pStyle w:val="2"/>
        <w:shd w:val="clear" w:fill="FFFFFF"/>
        <w:rPr>
          <w:shd w:val="clear" w:fill="FFFFFF"/>
          <w:lang w:val="en-US"/>
        </w:rPr>
      </w:pPr>
    </w:p>
    <w:p>
      <w:pPr>
        <w:pStyle w:val="2"/>
        <w:shd w:val="clear" w:fill="FFFFFF"/>
      </w:pPr>
      <w:r>
        <w:rPr>
          <w:rStyle w:val="5"/>
          <w:rFonts w:hint="eastAsia" w:ascii="宋体" w:hAnsi="宋体" w:eastAsia="宋体" w:cs="宋体"/>
          <w:sz w:val="27"/>
          <w:szCs w:val="27"/>
          <w:shd w:val="clear" w:fill="FFFFFF"/>
          <w:lang w:val="en-US"/>
        </w:rPr>
        <w:t> 2.</w:t>
      </w:r>
      <w:r>
        <w:rPr>
          <w:rStyle w:val="5"/>
          <w:rFonts w:hint="eastAsia" w:ascii="宋体" w:hAnsi="宋体" w:eastAsia="宋体" w:cs="宋体"/>
          <w:sz w:val="27"/>
          <w:szCs w:val="27"/>
          <w:shd w:val="clear" w:fill="FFFFFF"/>
          <w:lang w:eastAsia="zh-CN"/>
        </w:rPr>
        <w:t>关于绩效自评结果的说明。</w:t>
      </w:r>
    </w:p>
    <w:p>
      <w:pPr>
        <w:pStyle w:val="2"/>
        <w:shd w:val="clear" w:fill="FFFFFF"/>
        <w:outlineLvl w:val="0"/>
        <w:rPr>
          <w:sz w:val="27"/>
          <w:szCs w:val="27"/>
          <w:shd w:val="clear" w:fill="FFFFFF"/>
          <w:lang w:val="en-US"/>
        </w:rPr>
      </w:pPr>
      <w:r>
        <w:rPr>
          <w:rStyle w:val="5"/>
          <w:rFonts w:hint="eastAsia" w:ascii="宋体" w:hAnsi="宋体" w:eastAsia="宋体" w:cs="宋体"/>
          <w:b w:val="0"/>
          <w:bCs/>
          <w:sz w:val="32"/>
          <w:szCs w:val="32"/>
          <w:shd w:val="clear" w:fill="FFFFFF"/>
          <w:lang w:val="en-US"/>
        </w:rPr>
        <w:t xml:space="preserve">  </w:t>
      </w:r>
      <w:r>
        <w:rPr>
          <w:rStyle w:val="5"/>
          <w:rFonts w:hint="eastAsia" w:ascii="宋体" w:hAnsi="宋体" w:eastAsia="宋体" w:cs="宋体"/>
          <w:b w:val="0"/>
          <w:bCs/>
          <w:sz w:val="27"/>
          <w:szCs w:val="27"/>
          <w:shd w:val="clear" w:fill="FFFFFF"/>
          <w:lang w:eastAsia="zh-CN"/>
        </w:rPr>
        <w:t>通过开展目标绩效自评，使有限的财政资金发挥了很好的社会效果，达到了预期的目的</w:t>
      </w:r>
      <w:r>
        <w:rPr>
          <w:sz w:val="27"/>
          <w:szCs w:val="27"/>
          <w:shd w:val="clear" w:fill="FFFFFF"/>
          <w:lang w:eastAsia="zh-CN"/>
        </w:rPr>
        <w:t>。</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六、专业名词解释</w:t>
      </w:r>
    </w:p>
    <w:p>
      <w:pPr>
        <w:pStyle w:val="2"/>
        <w:shd w:val="clear" w:fill="FFFFFF"/>
      </w:pPr>
      <w:r>
        <w:rPr>
          <w:sz w:val="27"/>
          <w:szCs w:val="27"/>
          <w:shd w:val="clear" w:fill="FFFFFF"/>
          <w:lang w:val="en-US"/>
        </w:rPr>
        <w:t xml:space="preserve">  </w:t>
      </w:r>
      <w:r>
        <w:rPr>
          <w:sz w:val="27"/>
          <w:szCs w:val="27"/>
          <w:shd w:val="clear" w:fill="FFFFFF"/>
          <w:lang w:eastAsia="zh-CN"/>
        </w:rPr>
        <w:t>以下为常见专业名词解释目录，仅供参考，部门应根据实际情况进行解释和</w:t>
      </w:r>
      <w:r>
        <w:rPr>
          <w:rStyle w:val="5"/>
          <w:rFonts w:hint="eastAsia" w:ascii="宋体" w:hAnsi="宋体" w:eastAsia="宋体" w:cs="宋体"/>
          <w:sz w:val="27"/>
          <w:szCs w:val="27"/>
          <w:shd w:val="clear" w:fill="FFFFFF"/>
          <w:lang w:eastAsia="zh-CN"/>
        </w:rPr>
        <w:t>增减</w:t>
      </w:r>
      <w:r>
        <w:rPr>
          <w:sz w:val="27"/>
          <w:szCs w:val="27"/>
          <w:shd w:val="clear" w:fill="FFFFFF"/>
          <w:lang w:eastAsia="zh-CN"/>
        </w:rPr>
        <w:t>。比如可将类级功能科目和经济科目细化解释到项级。若有删减注意调整段落序号。</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（一）财政拨款收入</w:t>
      </w:r>
      <w:r>
        <w:rPr>
          <w:sz w:val="27"/>
          <w:szCs w:val="27"/>
          <w:shd w:val="clear" w:fill="FFFFFF"/>
          <w:lang w:eastAsia="zh-CN"/>
        </w:rPr>
        <w:t>：指本年度从本级财政部门取得的财政拨款，包括一般公共预算财政拨款和政府性基金预算财政拨款。</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（二）事业收入</w:t>
      </w:r>
      <w:r>
        <w:rPr>
          <w:sz w:val="27"/>
          <w:szCs w:val="27"/>
          <w:shd w:val="clear" w:fill="FFFFFF"/>
          <w:lang w:eastAsia="zh-CN"/>
        </w:rPr>
        <w:t>：指事业单位开展专业业务活动及其辅助活动取得的现金流入；事业单位收到的财政专户实际核拨的教育收费等资金在此反映。</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（三）经营收入</w:t>
      </w:r>
      <w:r>
        <w:rPr>
          <w:sz w:val="27"/>
          <w:szCs w:val="27"/>
          <w:shd w:val="clear" w:fill="FFFFFF"/>
          <w:lang w:eastAsia="zh-CN"/>
        </w:rPr>
        <w:t>：指事业单位在专业业务活动及其辅助活动之外开展非独立核算经营活动取得的现金流入。</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（四）其他收入</w:t>
      </w:r>
      <w:r>
        <w:rPr>
          <w:sz w:val="27"/>
          <w:szCs w:val="27"/>
          <w:shd w:val="clear" w:fill="FFFFFF"/>
          <w:lang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（五）使用非财政拨款结余</w:t>
      </w:r>
      <w:r>
        <w:rPr>
          <w:sz w:val="27"/>
          <w:szCs w:val="27"/>
          <w:shd w:val="clear" w:fill="FFFFFF"/>
          <w:lang w:eastAsia="zh-CN"/>
        </w:rPr>
        <w:t>：指单位在当年的“财政拨款收入”、“事业收入”、“经营收入”、“其他收入”等不足以安排当年支出的情况下，使用以前年度积累的非财政拨款结余弥补本年度收支缺口的资金。</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（六）年初结转和结余</w:t>
      </w:r>
      <w:r>
        <w:rPr>
          <w:sz w:val="27"/>
          <w:szCs w:val="27"/>
          <w:shd w:val="clear" w:fill="FFFFFF"/>
          <w:lang w:eastAsia="zh-CN"/>
        </w:rPr>
        <w:t>：指单位上年结转本年使用的基本支出结转、项目支出结转和结余、经营结余。</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（七）结余分配</w:t>
      </w:r>
      <w:r>
        <w:rPr>
          <w:sz w:val="27"/>
          <w:szCs w:val="27"/>
          <w:shd w:val="clear" w:fill="FFFFFF"/>
          <w:lang w:eastAsia="zh-CN"/>
        </w:rPr>
        <w:t>：指单位按照国家有关规定，缴纳所得税、提取专用基金、转入非财政拨款结余等当年结余的分配情况。</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（八）年末结转和结余</w:t>
      </w:r>
      <w:r>
        <w:rPr>
          <w:sz w:val="27"/>
          <w:szCs w:val="27"/>
          <w:shd w:val="clear" w:fill="FFFFFF"/>
          <w:lang w:eastAsia="zh-CN"/>
        </w:rPr>
        <w:t>：指单位结转下年的基本支出结转、项目支出结转和结余、经营结余。</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（九）基本支出</w:t>
      </w:r>
      <w:r>
        <w:rPr>
          <w:sz w:val="27"/>
          <w:szCs w:val="27"/>
          <w:shd w:val="clear" w:fill="FFFFFF"/>
          <w:lang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（十）项目支出</w:t>
      </w:r>
      <w:r>
        <w:rPr>
          <w:sz w:val="27"/>
          <w:szCs w:val="27"/>
          <w:shd w:val="clear" w:fill="FFFFFF"/>
          <w:lang w:eastAsia="zh-CN"/>
        </w:rPr>
        <w:t>：指在基本支出之外为完成特定行政任务和事业发展目标所发生的支出。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（十一）经营支出</w:t>
      </w:r>
      <w:r>
        <w:rPr>
          <w:sz w:val="27"/>
          <w:szCs w:val="27"/>
          <w:shd w:val="clear" w:fill="FFFFFF"/>
          <w:lang w:eastAsia="zh-CN"/>
        </w:rPr>
        <w:t>：指事业单位在专业业务活动及其辅助活动之外开展非独立核算经营活动发生的支出。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（十二）“三公”经费</w:t>
      </w:r>
      <w:r>
        <w:rPr>
          <w:sz w:val="27"/>
          <w:szCs w:val="27"/>
          <w:shd w:val="clear" w:fill="FFFFFF"/>
          <w:lang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（十三）机关运行经费</w:t>
      </w:r>
      <w:r>
        <w:rPr>
          <w:sz w:val="27"/>
          <w:szCs w:val="27"/>
          <w:shd w:val="clear" w:fill="FFFFFF"/>
          <w:lang w:eastAsia="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（十四）工资福利支出（支出经济分类科目类级）</w:t>
      </w:r>
      <w:r>
        <w:rPr>
          <w:sz w:val="27"/>
          <w:szCs w:val="27"/>
          <w:shd w:val="clear" w:fill="FFFFFF"/>
          <w:lang w:eastAsia="zh-CN"/>
        </w:rPr>
        <w:t>：反映单位开支的在职职工和编制外长期聘用人员的各类劳动报酬，以及为上述人员缴纳的各项社会保险费等。</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（十五）商品和服务支出（支出经济分类科目类级）</w:t>
      </w:r>
      <w:r>
        <w:rPr>
          <w:sz w:val="27"/>
          <w:szCs w:val="27"/>
          <w:shd w:val="clear" w:fill="FFFFFF"/>
          <w:lang w:eastAsia="zh-CN"/>
        </w:rPr>
        <w:t>：反映单位购买商品和服务的支出（不包括用于购置固定资产的支出、战略性和应急储备支出）。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（十六）对个人和家庭的补助（支出经济分类科目类级）</w:t>
      </w:r>
      <w:r>
        <w:rPr>
          <w:sz w:val="27"/>
          <w:szCs w:val="27"/>
          <w:shd w:val="clear" w:fill="FFFFFF"/>
          <w:lang w:eastAsia="zh-CN"/>
        </w:rPr>
        <w:t>：反映用于对个人和家庭的补助支出。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（十七）其他资本性支出（支出经济分类科目类级）</w:t>
      </w:r>
      <w:r>
        <w:rPr>
          <w:sz w:val="27"/>
          <w:szCs w:val="27"/>
          <w:shd w:val="clear" w:fill="FFFFFF"/>
          <w:lang w:eastAsia="zh-CN"/>
        </w:rPr>
        <w:t>：反映非各级发展与改革部门集中安排的用于购置固定资产、战略性和应急性储备、土地和无形资产，以及构建基础设施、大型修缮和财政支持企业更新改造所发生的支出。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七、决算公开联系方式及信息反馈渠道</w:t>
      </w:r>
    </w:p>
    <w:p>
      <w:pPr>
        <w:pStyle w:val="2"/>
        <w:shd w:val="clear" w:fill="FFFFFF"/>
      </w:pPr>
      <w:r>
        <w:rPr>
          <w:sz w:val="27"/>
          <w:szCs w:val="27"/>
          <w:shd w:val="clear" w:fill="FFFFFF"/>
          <w:lang w:val="en-US"/>
        </w:rPr>
        <w:t xml:space="preserve">  </w:t>
      </w:r>
      <w:r>
        <w:rPr>
          <w:sz w:val="27"/>
          <w:szCs w:val="27"/>
          <w:shd w:val="clear" w:fill="FFFFFF"/>
          <w:lang w:eastAsia="zh-CN"/>
        </w:rPr>
        <w:t>本单位决算公开信息反馈和联系方式：</w:t>
      </w:r>
      <w:r>
        <w:rPr>
          <w:sz w:val="27"/>
          <w:szCs w:val="27"/>
          <w:shd w:val="clear" w:fill="FFFFFF"/>
          <w:lang w:val="en-US"/>
        </w:rPr>
        <w:t>023-54569008</w:t>
      </w:r>
    </w:p>
    <w:p>
      <w:bookmarkStart w:id="0" w:name="_GoBack"/>
      <w:bookmarkEnd w:id="0"/>
    </w:p>
    <w:sectPr>
      <w:pgSz w:w="11915" w:h="16840"/>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A2YTkyYWM2MGMyMDQ2ZTJjMjEyNWI1MjdmZGQifQ=="/>
  </w:docVars>
  <w:rsids>
    <w:rsidRoot w:val="795C71F3"/>
    <w:rsid w:val="795C7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2022-09-28T02:18:00Z</dcterms:created>
  <dc:creator>祸害遗千年</dc:creator>
  <cp:lastModifiedBy>祸害遗千年</cp:lastModifiedBy>
  <dcterms:modified xsi:type="dcterms:W3CDTF">2022-09-28T02:26:26Z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605E96925DBE448297A92D82BD2ED3A4</vt:lpwstr>
  </property>
</Properties>
</file>