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重庆市忠县兴峰乡劳动就业和社会保障服务所</w:t>
      </w:r>
      <w:r>
        <w:rPr>
          <w:rFonts w:hint="default" w:ascii="Times New Roman" w:hAnsi="Times New Roman" w:eastAsia="方正小标宋_GBK" w:cs="Times New Roman"/>
          <w:sz w:val="36"/>
          <w:szCs w:val="36"/>
          <w:shd w:val="clear" w:color="auto" w:fill="FFFFFF"/>
        </w:rPr>
        <w:t>2023年度决算公开说明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0" w:afterAutospacing="0"/>
        <w:ind w:firstLine="643" w:firstLineChars="200"/>
        <w:textAlignment w:val="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负责本辖区社会保险经办、劳动就业保障服务等。</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420"/>
        <w:textAlignment w:val="auto"/>
        <w:rPr>
          <w:rFonts w:hint="default" w:ascii="Times New Roman" w:hAnsi="Times New Roman" w:eastAsia="楷体" w:cs="Times New Roman"/>
          <w:color w:val="auto"/>
          <w:sz w:val="32"/>
          <w:szCs w:val="32"/>
        </w:rPr>
      </w:pPr>
      <w:r>
        <w:rPr>
          <w:rStyle w:val="10"/>
          <w:rFonts w:hint="default" w:ascii="Times New Roman" w:hAnsi="Times New Roman" w:eastAsia="楷体" w:cs="Times New Roman"/>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内设1个综合办公室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黑体" w:cs="Times New Roman"/>
          <w:color w:val="auto"/>
          <w:sz w:val="32"/>
          <w:szCs w:val="32"/>
          <w:shd w:val="clear" w:color="auto" w:fill="FFFFFF"/>
        </w:rPr>
      </w:pPr>
      <w:r>
        <w:rPr>
          <w:rStyle w:val="10"/>
          <w:rFonts w:hint="default" w:ascii="Times New Roman" w:hAnsi="Times New Roman" w:eastAsia="黑体" w:cs="Times New Roman"/>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0" w:beforeAutospacing="0" w:after="0" w:afterAutospacing="0"/>
        <w:ind w:firstLine="643" w:firstLineChars="200"/>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2023年度收入总计69.41万元，支出总计</w:t>
      </w:r>
      <w:r>
        <w:rPr>
          <w:rFonts w:hint="default" w:ascii="Times New Roman" w:hAnsi="Times New Roman" w:eastAsia="方正仿宋_GBK" w:cs="Times New Roman"/>
          <w:color w:val="auto"/>
          <w:sz w:val="32"/>
          <w:szCs w:val="32"/>
        </w:rPr>
        <w:t>69.41</w:t>
      </w:r>
      <w:r>
        <w:rPr>
          <w:rFonts w:hint="default" w:ascii="Times New Roman" w:hAnsi="Times New Roman" w:eastAsia="方正仿宋_GBK" w:cs="Times New Roman"/>
          <w:color w:val="auto"/>
          <w:sz w:val="32"/>
          <w:szCs w:val="32"/>
          <w:shd w:val="clear" w:color="auto" w:fill="FFFFFF"/>
        </w:rPr>
        <w:t>万元。收支较上年决算数增加14.39万元，增长26.15%，主要原因是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2023年本单位新招录人员及在职人员工资调标导致人员经费增加，使得年度收支较上年增加。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2023年度收入合计69.41万元，较上年决算数增加14.39万元，增长26.15%，主要原因是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2023年本单位新招录人员及在职人员工资调标导致人员经费增加，使得年度收入较上年增加。</w:t>
      </w:r>
      <w:r>
        <w:rPr>
          <w:rFonts w:hint="default" w:ascii="Times New Roman" w:hAnsi="Times New Roman" w:eastAsia="方正仿宋_GBK" w:cs="Times New Roman"/>
          <w:color w:val="auto"/>
          <w:sz w:val="32"/>
          <w:szCs w:val="32"/>
          <w:shd w:val="clear" w:color="auto" w:fill="FFFFFF"/>
        </w:rPr>
        <w:t>其中：财政拨款收入</w:t>
      </w:r>
      <w:r>
        <w:rPr>
          <w:rFonts w:hint="default" w:ascii="Times New Roman" w:hAnsi="Times New Roman" w:eastAsia="方正仿宋_GBK" w:cs="Times New Roman"/>
          <w:color w:val="auto"/>
          <w:sz w:val="32"/>
          <w:szCs w:val="32"/>
        </w:rPr>
        <w:t>69.41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100.00</w:t>
      </w:r>
      <w:r>
        <w:rPr>
          <w:rFonts w:hint="default" w:ascii="Times New Roman" w:hAnsi="Times New Roman" w:eastAsia="方正仿宋_GBK" w:cs="Times New Roman"/>
          <w:color w:val="auto"/>
          <w:sz w:val="32"/>
          <w:szCs w:val="32"/>
          <w:shd w:val="clear" w:color="auto" w:fill="FFFFFF"/>
        </w:rPr>
        <w:t>%；事业收入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万元，占0.00%；其他收入</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万元，占0.00%。此外，使用非财政拨款结余和专用结余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万元，年初结转和结余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10"/>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69.41</w:t>
      </w:r>
      <w:r>
        <w:rPr>
          <w:rFonts w:hint="default" w:ascii="Times New Roman" w:hAnsi="Times New Roman" w:eastAsia="方正仿宋_GBK" w:cs="Times New Roman"/>
          <w:color w:val="auto"/>
          <w:sz w:val="32"/>
          <w:szCs w:val="32"/>
          <w:shd w:val="clear" w:color="auto" w:fill="FFFFFF"/>
        </w:rPr>
        <w:t>万元，较上年决算数增加14.39万元，增长26.15%，主要原因是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2023年本单位新招录人员及在职人员工资调标导致人员经费增加，使得年度支出较上年增加。</w:t>
      </w:r>
      <w:r>
        <w:rPr>
          <w:rFonts w:hint="default" w:ascii="Times New Roman" w:hAnsi="Times New Roman" w:eastAsia="方正仿宋_GBK" w:cs="Times New Roman"/>
          <w:color w:val="auto"/>
          <w:sz w:val="32"/>
          <w:szCs w:val="32"/>
          <w:shd w:val="clear" w:color="auto" w:fill="FFFFFF"/>
        </w:rPr>
        <w:t>其中：基本支出</w:t>
      </w:r>
      <w:r>
        <w:rPr>
          <w:rFonts w:hint="default" w:ascii="Times New Roman" w:hAnsi="Times New Roman" w:eastAsia="方正仿宋_GBK" w:cs="Times New Roman"/>
          <w:color w:val="auto"/>
          <w:sz w:val="32"/>
          <w:szCs w:val="32"/>
        </w:rPr>
        <w:t>69.41</w:t>
      </w:r>
      <w:r>
        <w:rPr>
          <w:rFonts w:hint="default" w:ascii="Times New Roman" w:hAnsi="Times New Roman" w:eastAsia="方正仿宋_GBK" w:cs="Times New Roman"/>
          <w:color w:val="auto"/>
          <w:sz w:val="32"/>
          <w:szCs w:val="32"/>
          <w:shd w:val="clear" w:color="auto" w:fill="FFFFFF"/>
        </w:rPr>
        <w:t>万元，占100.00%；项目支出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万元，占0.00%；经营支出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万元，占0.00%。此外，结余分配</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2023年度财政拨款收、支总计69.41万元。与2022年相比，财政拨款收、支总计各增加14.39万元，增长26.15%。主要原因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2023年本单位新招录人员及在职人员工资调标导致人员经费增加，使得年度财政拨款收支较上年增加。</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color w:val="auto"/>
          <w:sz w:val="32"/>
          <w:szCs w:val="32"/>
          <w:shd w:val="clear" w:color="auto" w:fill="FFFFFF"/>
        </w:rPr>
      </w:pPr>
      <w:r>
        <w:rPr>
          <w:rFonts w:hint="default" w:ascii="Times New Roman" w:hAnsi="Times New Roman" w:eastAsia="楷体" w:cs="Times New Roman"/>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69.41</w:t>
      </w:r>
      <w:r>
        <w:rPr>
          <w:rFonts w:hint="default" w:ascii="Times New Roman" w:hAnsi="Times New Roman" w:eastAsia="方正仿宋_GBK" w:cs="Times New Roman"/>
          <w:color w:val="auto"/>
          <w:sz w:val="32"/>
          <w:szCs w:val="32"/>
          <w:shd w:val="clear" w:color="auto" w:fill="FFFFFF"/>
        </w:rPr>
        <w:t>万元，较上年决算数增加14.39万元，增长26.15%。主要原因是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2023年本单位新招录人员及在职人员工资调标导致人员经费增加，使得一般公共预算财政拨款收入较上年增加。</w:t>
      </w:r>
      <w:r>
        <w:rPr>
          <w:rFonts w:hint="default" w:ascii="Times New Roman" w:hAnsi="Times New Roman" w:eastAsia="方正仿宋_GBK" w:cs="Times New Roman"/>
          <w:color w:val="auto"/>
          <w:sz w:val="32"/>
          <w:szCs w:val="32"/>
          <w:shd w:val="clear" w:color="auto" w:fill="FFFFFF"/>
        </w:rPr>
        <w:t>较年初预算数增加12.57万元，增长22.11%。主要原因是</w:t>
      </w:r>
      <w:r>
        <w:rPr>
          <w:rFonts w:hint="default" w:ascii="Times New Roman" w:hAnsi="Times New Roman" w:eastAsia="方正仿宋_GBK" w:cs="Times New Roman"/>
          <w:color w:val="auto"/>
          <w:sz w:val="32"/>
          <w:szCs w:val="32"/>
          <w:shd w:val="clear" w:color="auto" w:fill="FFFFFF"/>
          <w:lang w:val="en-US" w:eastAsia="zh-CN"/>
        </w:rPr>
        <w:t>年中调整预算纳入新进人员及在职人员工资调标经费。</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69.41</w:t>
      </w:r>
      <w:r>
        <w:rPr>
          <w:rFonts w:hint="default" w:ascii="Times New Roman" w:hAnsi="Times New Roman" w:eastAsia="方正仿宋_GBK" w:cs="Times New Roman"/>
          <w:sz w:val="32"/>
          <w:szCs w:val="32"/>
          <w:shd w:val="clear" w:color="auto" w:fill="FFFFFF"/>
        </w:rPr>
        <w:t>万元，较上年决算数增加14.39万元，增长26.15%。主要原因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2023年本单位新招录人员及在职人员工资调标导致人员经费增加，使得一般公共预算财政拨款支出较上年增加。</w:t>
      </w:r>
      <w:r>
        <w:rPr>
          <w:rFonts w:hint="default" w:ascii="Times New Roman" w:hAnsi="Times New Roman" w:eastAsia="方正仿宋_GBK" w:cs="Times New Roman"/>
          <w:color w:val="auto"/>
          <w:sz w:val="32"/>
          <w:szCs w:val="32"/>
          <w:shd w:val="clear" w:color="auto" w:fill="FFFFFF"/>
        </w:rPr>
        <w:t>较年初预算数增加12.57万元，增长22.11%。主要原因是</w:t>
      </w:r>
      <w:r>
        <w:rPr>
          <w:rFonts w:hint="default" w:ascii="Times New Roman" w:hAnsi="Times New Roman" w:eastAsia="方正仿宋_GBK" w:cs="Times New Roman"/>
          <w:color w:val="auto"/>
          <w:sz w:val="32"/>
          <w:szCs w:val="32"/>
          <w:shd w:val="clear" w:color="auto" w:fill="FFFFFF"/>
          <w:lang w:val="en-US" w:eastAsia="zh-CN"/>
        </w:rPr>
        <w:t>年中调整预算纳入新进人员及在职人员工资调标经费。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Style w:val="10"/>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我单位严格执行预算，收支平衡，无结转和结余。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0.25</w:t>
      </w:r>
      <w:r>
        <w:rPr>
          <w:rFonts w:hint="default" w:ascii="Times New Roman" w:hAnsi="Times New Roman" w:eastAsia="方正仿宋_GBK" w:cs="Times New Roman"/>
          <w:sz w:val="32"/>
          <w:szCs w:val="32"/>
          <w:shd w:val="clear" w:color="auto" w:fill="FFFFFF"/>
        </w:rPr>
        <w:t>%，较年初预算数无增减，主要原因</w:t>
      </w:r>
      <w:r>
        <w:rPr>
          <w:rFonts w:hint="default" w:ascii="Times New Roman" w:hAnsi="Times New Roman" w:eastAsia="方正仿宋_GBK" w:cs="Times New Roman"/>
          <w:color w:val="auto"/>
          <w:sz w:val="32"/>
          <w:szCs w:val="32"/>
          <w:shd w:val="clear" w:color="auto" w:fill="FFFFFF"/>
        </w:rPr>
        <w:t>是</w:t>
      </w:r>
      <w:r>
        <w:rPr>
          <w:rFonts w:hint="default" w:ascii="Times New Roman" w:hAnsi="Times New Roman" w:eastAsia="方正仿宋_GBK" w:cs="Times New Roman"/>
          <w:color w:val="auto"/>
          <w:sz w:val="32"/>
          <w:szCs w:val="32"/>
          <w:shd w:val="clear" w:color="auto" w:fill="FFFFFF"/>
          <w:lang w:val="en-US" w:eastAsia="zh-CN"/>
        </w:rPr>
        <w:t>我单位严格按照预算开展培训。</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）社会保障与就业支出</w:t>
      </w:r>
      <w:r>
        <w:rPr>
          <w:rFonts w:hint="default" w:ascii="Times New Roman" w:hAnsi="Times New Roman" w:eastAsia="方正仿宋_GBK" w:cs="Times New Roman"/>
          <w:color w:val="auto"/>
          <w:sz w:val="32"/>
          <w:szCs w:val="32"/>
        </w:rPr>
        <w:t>63.81</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91.93</w:t>
      </w:r>
      <w:r>
        <w:rPr>
          <w:rFonts w:hint="default" w:ascii="Times New Roman" w:hAnsi="Times New Roman" w:eastAsia="方正仿宋_GBK" w:cs="Times New Roman"/>
          <w:color w:val="auto"/>
          <w:sz w:val="32"/>
          <w:szCs w:val="32"/>
          <w:shd w:val="clear" w:color="auto" w:fill="FFFFFF"/>
        </w:rPr>
        <w:t>%，较年初预算数增加12.57万元，增长24.53%，主要原因是</w:t>
      </w:r>
      <w:r>
        <w:rPr>
          <w:rFonts w:hint="default" w:ascii="Times New Roman" w:hAnsi="Times New Roman" w:eastAsia="方正仿宋_GBK" w:cs="Times New Roman"/>
          <w:color w:val="auto"/>
          <w:sz w:val="32"/>
          <w:szCs w:val="32"/>
          <w:shd w:val="clear" w:color="auto" w:fill="FFFFFF"/>
          <w:lang w:val="en-US" w:eastAsia="zh-CN"/>
        </w:rPr>
        <w:t>新进人员导致养老保险、职业年金等缴费人数增加。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2.65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3.82</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我单位严格执行预算，按规定缴纳医疗保险。</w:t>
      </w:r>
    </w:p>
    <w:p>
      <w:pPr>
        <w:keepNext w:val="0"/>
        <w:keepLines w:val="0"/>
        <w:pageBreakBefore w:val="0"/>
        <w:widowControl/>
        <w:kinsoku/>
        <w:wordWrap/>
        <w:overflowPunct/>
        <w:topLinePunct w:val="0"/>
        <w:autoSpaceDN/>
        <w:bidi w:val="0"/>
        <w:adjustRightInd/>
        <w:spacing w:beforeAutospacing="0" w:afterAutospacing="0"/>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住房保障支出2.77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4.00</w:t>
      </w:r>
      <w:r>
        <w:rPr>
          <w:rFonts w:hint="default" w:ascii="Times New Roman" w:hAnsi="Times New Roman" w:eastAsia="方正仿宋_GBK" w:cs="Times New Roman"/>
          <w:color w:val="auto"/>
          <w:sz w:val="32"/>
          <w:szCs w:val="32"/>
          <w:shd w:val="clear" w:color="auto" w:fill="FFFFFF"/>
        </w:rPr>
        <w:t>%，较年初预算数无增减，主要原因是</w:t>
      </w:r>
      <w:r>
        <w:rPr>
          <w:rFonts w:hint="default" w:ascii="Times New Roman" w:hAnsi="Times New Roman" w:eastAsia="方正仿宋_GBK" w:cs="Times New Roman"/>
          <w:color w:val="auto"/>
          <w:sz w:val="32"/>
          <w:szCs w:val="32"/>
          <w:shd w:val="clear" w:color="auto" w:fill="FFFFFF"/>
          <w:lang w:val="en-US" w:eastAsia="zh-CN"/>
        </w:rPr>
        <w:t>我单位严格执行预算，按规定缴纳住房公积金。</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2023年度一般公共财政拨款基本支出</w:t>
      </w:r>
      <w:r>
        <w:rPr>
          <w:rFonts w:hint="default" w:ascii="Times New Roman" w:hAnsi="Times New Roman" w:eastAsia="方正仿宋_GBK" w:cs="Times New Roman"/>
          <w:sz w:val="32"/>
          <w:szCs w:val="32"/>
        </w:rPr>
        <w:t>69.41</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63.23</w:t>
      </w:r>
      <w:r>
        <w:rPr>
          <w:rFonts w:hint="default" w:ascii="Times New Roman" w:hAnsi="Times New Roman" w:eastAsia="方正仿宋_GBK" w:cs="Times New Roman"/>
          <w:sz w:val="32"/>
          <w:szCs w:val="32"/>
          <w:shd w:val="clear" w:color="auto" w:fill="FFFFFF"/>
        </w:rPr>
        <w:t>万元，较上年决算数增加14.91万元，增长30.86%，主</w:t>
      </w:r>
      <w:r>
        <w:rPr>
          <w:rFonts w:hint="default" w:ascii="Times New Roman" w:hAnsi="Times New Roman" w:eastAsia="方正仿宋_GBK" w:cs="Times New Roman"/>
          <w:color w:val="auto"/>
          <w:sz w:val="32"/>
          <w:szCs w:val="32"/>
          <w:shd w:val="clear" w:color="auto" w:fill="FFFFFF"/>
        </w:rPr>
        <w:t>要原因是</w:t>
      </w:r>
      <w:r>
        <w:rPr>
          <w:rFonts w:hint="default" w:ascii="Times New Roman" w:hAnsi="Times New Roman" w:eastAsia="方正仿宋_GBK" w:cs="Times New Roman"/>
          <w:color w:val="auto"/>
          <w:sz w:val="32"/>
          <w:szCs w:val="32"/>
          <w:shd w:val="clear" w:color="auto" w:fill="FFFFFF"/>
          <w:lang w:val="en-US" w:eastAsia="zh-CN"/>
        </w:rPr>
        <w:t>新进人员及在职人员工资调标导致人员经费增加。</w:t>
      </w:r>
      <w:r>
        <w:rPr>
          <w:rFonts w:hint="default" w:ascii="Times New Roman" w:hAnsi="Times New Roman" w:eastAsia="方正仿宋_GBK" w:cs="Times New Roman"/>
          <w:color w:val="auto"/>
          <w:sz w:val="32"/>
          <w:szCs w:val="32"/>
          <w:shd w:val="clear" w:color="auto" w:fill="FFFFFF"/>
        </w:rPr>
        <w:t>人员经费用途主要包括基本工资、津贴补贴、绩效工资、住房公积金、养老保险、职业年金、医疗保险、奖金、绩效考核等。公用经费</w:t>
      </w:r>
      <w:r>
        <w:rPr>
          <w:rFonts w:hint="default" w:ascii="Times New Roman" w:hAnsi="Times New Roman" w:eastAsia="方正仿宋_GBK" w:cs="Times New Roman"/>
          <w:color w:val="auto"/>
          <w:sz w:val="32"/>
          <w:szCs w:val="32"/>
        </w:rPr>
        <w:t>6.17</w:t>
      </w:r>
      <w:r>
        <w:rPr>
          <w:rFonts w:hint="default" w:ascii="Times New Roman" w:hAnsi="Times New Roman" w:eastAsia="方正仿宋_GBK" w:cs="Times New Roman"/>
          <w:color w:val="auto"/>
          <w:sz w:val="32"/>
          <w:szCs w:val="32"/>
          <w:shd w:val="clear" w:color="auto" w:fill="FFFFFF"/>
        </w:rPr>
        <w:t>万元，较上年决算数减少0.54万元，下降8.05%，主要原因是</w:t>
      </w:r>
      <w:r>
        <w:rPr>
          <w:rFonts w:hint="default" w:ascii="Times New Roman" w:hAnsi="Times New Roman" w:eastAsia="方正仿宋_GBK" w:cs="Times New Roman"/>
          <w:color w:val="auto"/>
          <w:sz w:val="32"/>
          <w:szCs w:val="32"/>
          <w:shd w:val="clear" w:color="auto" w:fill="FFFFFF"/>
          <w:lang w:val="en-US" w:eastAsia="zh-CN"/>
        </w:rPr>
        <w:t>我单位缩减开支，办公费差旅费等支出减少。</w:t>
      </w:r>
      <w:r>
        <w:rPr>
          <w:rFonts w:hint="default" w:ascii="Times New Roman" w:hAnsi="Times New Roman" w:eastAsia="方正仿宋_GBK" w:cs="Times New Roman"/>
          <w:color w:val="auto"/>
          <w:sz w:val="32"/>
          <w:szCs w:val="32"/>
          <w:shd w:val="clear" w:color="auto" w:fill="FFFFFF"/>
        </w:rPr>
        <w:t>公用经费用途主要包括</w:t>
      </w:r>
      <w:r>
        <w:rPr>
          <w:rFonts w:hint="default" w:ascii="Times New Roman" w:hAnsi="Times New Roman" w:eastAsia="方正仿宋_GBK" w:cs="Times New Roman"/>
          <w:color w:val="auto"/>
          <w:sz w:val="32"/>
          <w:szCs w:val="32"/>
          <w:shd w:val="clear" w:color="auto" w:fill="FFFFFF"/>
          <w:lang w:val="en-US" w:eastAsia="zh-CN"/>
        </w:rPr>
        <w:t>办</w:t>
      </w:r>
      <w:r>
        <w:rPr>
          <w:rFonts w:hint="default" w:ascii="Times New Roman" w:hAnsi="Times New Roman" w:eastAsia="方正仿宋_GBK" w:cs="Times New Roman"/>
          <w:color w:val="auto"/>
          <w:sz w:val="32"/>
          <w:szCs w:val="32"/>
          <w:shd w:val="clear" w:color="auto" w:fill="FFFFFF"/>
        </w:rPr>
        <w:t>公费、差旅费、水电费、邮电费、交通费、福利费、工会费等。</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楷体" w:cs="Times New Roman"/>
          <w:b/>
          <w:bCs/>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w:t>
      </w:r>
      <w:r>
        <w:rPr>
          <w:rFonts w:hint="default" w:ascii="Times New Roman" w:hAnsi="Times New Roman" w:eastAsia="方正仿宋_GBK" w:cs="Times New Roman"/>
          <w:sz w:val="32"/>
          <w:szCs w:val="32"/>
          <w:shd w:val="clear" w:color="auto" w:fill="FFFFFF"/>
          <w:lang w:val="en-US" w:eastAsia="zh-CN"/>
        </w:rPr>
        <w:t>本单位未产生</w:t>
      </w:r>
      <w:r>
        <w:rPr>
          <w:rFonts w:hint="default" w:ascii="Times New Roman" w:hAnsi="Times New Roman" w:eastAsia="方正仿宋_GBK" w:cs="Times New Roman"/>
          <w:sz w:val="32"/>
          <w:szCs w:val="32"/>
          <w:shd w:val="clear" w:color="auto" w:fill="FFFFFF"/>
        </w:rPr>
        <w:t>“三公”经费支出</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2023年度本单位</w:t>
      </w:r>
      <w:r>
        <w:rPr>
          <w:rFonts w:hint="default" w:ascii="Times New Roman" w:hAnsi="Times New Roman" w:eastAsia="方正仿宋_GBK" w:cs="Times New Roman"/>
          <w:sz w:val="32"/>
          <w:szCs w:val="32"/>
          <w:shd w:val="clear" w:color="auto" w:fill="FFFFFF"/>
          <w:lang w:val="en-US" w:eastAsia="zh-CN"/>
        </w:rPr>
        <w:t>未产生</w:t>
      </w:r>
      <w:r>
        <w:rPr>
          <w:rFonts w:hint="default" w:ascii="Times New Roman" w:hAnsi="Times New Roman" w:eastAsia="方正仿宋_GBK" w:cs="Times New Roman"/>
          <w:sz w:val="32"/>
          <w:szCs w:val="32"/>
          <w:shd w:val="clear" w:color="auto" w:fill="FFFFFF"/>
        </w:rPr>
        <w:t>因公出国（境）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公务车购置</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公务车运行维护</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公务接待</w:t>
      </w:r>
      <w:r>
        <w:rPr>
          <w:rFonts w:hint="default" w:ascii="Times New Roman" w:hAnsi="Times New Roman" w:eastAsia="方正仿宋_GBK" w:cs="Times New Roman"/>
          <w:sz w:val="32"/>
          <w:szCs w:val="32"/>
          <w:shd w:val="clear" w:color="auto" w:fill="FFFFFF"/>
          <w:lang w:val="en-US" w:eastAsia="zh-CN"/>
        </w:rPr>
        <w:t>等费用。</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sz w:val="32"/>
          <w:szCs w:val="32"/>
          <w:shd w:val="clear" w:color="auto" w:fill="FFFFFF"/>
          <w:lang w:val="en-US" w:eastAsia="zh-CN"/>
        </w:rPr>
        <w:t>本单位系小单位，不涉及大型会议召开，故财政未保障我单位会议费</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0.17</w:t>
      </w:r>
      <w:r>
        <w:rPr>
          <w:rFonts w:hint="default" w:ascii="Times New Roman" w:hAnsi="Times New Roman" w:eastAsia="方正仿宋_GBK" w:cs="Times New Roman"/>
          <w:sz w:val="32"/>
          <w:szCs w:val="32"/>
          <w:shd w:val="clear" w:color="auto" w:fill="FFFFFF"/>
        </w:rPr>
        <w:t>万元，较上年决算数增加0.02万元，增长13.33%，主要原因是</w:t>
      </w:r>
      <w:r>
        <w:rPr>
          <w:rFonts w:hint="default" w:ascii="Times New Roman" w:hAnsi="Times New Roman" w:eastAsia="方正仿宋_GBK" w:cs="Times New Roman"/>
          <w:sz w:val="32"/>
          <w:szCs w:val="32"/>
          <w:shd w:val="clear" w:color="auto" w:fill="FFFFFF"/>
          <w:lang w:val="en-US" w:eastAsia="zh-CN"/>
        </w:rPr>
        <w:t>本年度培训人次增加</w:t>
      </w:r>
      <w:r>
        <w:rPr>
          <w:rFonts w:hint="default" w:ascii="Times New Roman" w:hAnsi="Times New Roman" w:eastAsia="方正仿宋_GBK" w:cs="Times New Roman"/>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截至2023年12月31日，本单位共有车辆</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textAlignment w:val="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1"/>
        <w:keepNext w:val="0"/>
        <w:keepLines w:val="0"/>
        <w:pageBreakBefore w:val="0"/>
        <w:widowControl/>
        <w:kinsoku/>
        <w:wordWrap/>
        <w:overflowPunct/>
        <w:topLinePunct w:val="0"/>
        <w:autoSpaceDE w:val="0"/>
        <w:autoSpaceDN/>
        <w:bidi w:val="0"/>
        <w:adjustRightInd/>
        <w:spacing w:beforeAutospacing="0" w:afterAutospacing="0"/>
        <w:ind w:firstLine="643"/>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根据预算绩效管理要求，我单位对部门整体开展了绩效自评，涉及资金</w:t>
      </w:r>
      <w:r>
        <w:rPr>
          <w:rFonts w:hint="default" w:ascii="Times New Roman" w:hAnsi="Times New Roman" w:eastAsia="方正仿宋_GBK" w:cs="Times New Roman"/>
          <w:sz w:val="32"/>
          <w:szCs w:val="32"/>
          <w:shd w:val="clear" w:color="auto" w:fill="FFFFFF"/>
          <w:lang w:val="en-US" w:eastAsia="zh-CN"/>
        </w:rPr>
        <w:t>69.41</w:t>
      </w:r>
      <w:r>
        <w:rPr>
          <w:rFonts w:hint="default" w:ascii="Times New Roman" w:hAnsi="Times New Roman" w:eastAsia="方正仿宋_GBK" w:cs="Times New Roman"/>
          <w:sz w:val="32"/>
          <w:szCs w:val="32"/>
          <w:shd w:val="clear" w:color="auto" w:fill="FFFFFF"/>
        </w:rPr>
        <w:t>万元。</w:t>
      </w:r>
    </w:p>
    <w:p>
      <w:pPr>
        <w:pStyle w:val="12"/>
        <w:keepNext w:val="0"/>
        <w:keepLines w:val="0"/>
        <w:pageBreakBefore w:val="0"/>
        <w:widowControl/>
        <w:kinsoku/>
        <w:wordWrap/>
        <w:overflowPunct/>
        <w:topLinePunct w:val="0"/>
        <w:autoSpaceDE w:val="0"/>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b/>
          <w:bCs/>
          <w:sz w:val="28"/>
          <w:szCs w:val="28"/>
          <w:shd w:val="clear" w:color="auto" w:fill="FFFFFF"/>
          <w:lang w:val="en-US" w:eastAsia="zh-CN"/>
        </w:rPr>
      </w:pPr>
      <w:r>
        <w:rPr>
          <w:rFonts w:hint="default" w:ascii="Times New Roman" w:hAnsi="Times New Roman" w:eastAsia="方正仿宋_GBK" w:cs="Times New Roman"/>
          <w:b/>
          <w:bCs/>
          <w:sz w:val="28"/>
          <w:szCs w:val="28"/>
          <w:shd w:val="clear" w:color="auto" w:fill="FFFFFF"/>
          <w:lang w:val="en-US" w:eastAsia="zh-CN"/>
        </w:rPr>
        <w:t>部门整体绩效目标自评表</w:t>
      </w:r>
    </w:p>
    <w:tbl>
      <w:tblPr>
        <w:tblStyle w:val="7"/>
        <w:tblW w:w="8220" w:type="dxa"/>
        <w:jc w:val="center"/>
        <w:tblInd w:w="62" w:type="dxa"/>
        <w:shd w:val="clear" w:color="auto" w:fill="auto"/>
        <w:tblLayout w:type="fixed"/>
        <w:tblCellMar>
          <w:top w:w="0" w:type="dxa"/>
          <w:left w:w="0" w:type="dxa"/>
          <w:bottom w:w="0" w:type="dxa"/>
          <w:right w:w="0" w:type="dxa"/>
        </w:tblCellMar>
      </w:tblPr>
      <w:tblGrid>
        <w:gridCol w:w="900"/>
        <w:gridCol w:w="2040"/>
        <w:gridCol w:w="645"/>
        <w:gridCol w:w="615"/>
        <w:gridCol w:w="780"/>
        <w:gridCol w:w="1080"/>
        <w:gridCol w:w="1080"/>
        <w:gridCol w:w="1080"/>
      </w:tblGrid>
      <w:tr>
        <w:tblPrEx>
          <w:shd w:val="clear" w:color="auto" w:fill="auto"/>
          <w:tblLayout w:type="fixed"/>
          <w:tblCellMar>
            <w:top w:w="0" w:type="dxa"/>
            <w:left w:w="0" w:type="dxa"/>
            <w:bottom w:w="0" w:type="dxa"/>
            <w:right w:w="0" w:type="dxa"/>
          </w:tblCellMar>
        </w:tblPrEx>
        <w:trPr>
          <w:trHeight w:val="915" w:hRule="atLeast"/>
          <w:jc w:val="center"/>
        </w:trPr>
        <w:tc>
          <w:tcPr>
            <w:tcW w:w="8220"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36"/>
                <w:szCs w:val="36"/>
                <w:u w:val="none"/>
              </w:rPr>
            </w:pPr>
            <w:r>
              <w:rPr>
                <w:rFonts w:hint="eastAsia" w:ascii="微软雅黑" w:hAnsi="微软雅黑" w:eastAsia="微软雅黑" w:cs="微软雅黑"/>
                <w:i w:val="0"/>
                <w:color w:val="000000"/>
                <w:kern w:val="0"/>
                <w:sz w:val="36"/>
                <w:szCs w:val="36"/>
                <w:u w:val="none"/>
                <w:lang w:val="en-US" w:eastAsia="zh-CN" w:bidi="ar"/>
              </w:rPr>
              <w:t>2023年部门（单位）整体绩效目标自评表</w:t>
            </w:r>
          </w:p>
        </w:tc>
      </w:tr>
      <w:tr>
        <w:tblPrEx>
          <w:shd w:val="clear" w:color="auto" w:fill="auto"/>
          <w:tblLayout w:type="fixed"/>
          <w:tblCellMar>
            <w:top w:w="0" w:type="dxa"/>
            <w:left w:w="0" w:type="dxa"/>
            <w:bottom w:w="0" w:type="dxa"/>
            <w:right w:w="0" w:type="dxa"/>
          </w:tblCellMar>
        </w:tblPrEx>
        <w:trPr>
          <w:trHeight w:val="11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部门（单位）名称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忠县兴峰乡劳动就业和社会保障服务所</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预算支出总量（万元）</w:t>
            </w:r>
          </w:p>
        </w:tc>
        <w:tc>
          <w:tcPr>
            <w:tcW w:w="18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69.41</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实际支出总量（万元）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69.41</w:t>
            </w:r>
          </w:p>
        </w:tc>
      </w:tr>
      <w:tr>
        <w:tblPrEx>
          <w:shd w:val="clear" w:color="auto" w:fill="auto"/>
          <w:tblLayout w:type="fixed"/>
          <w:tblCellMar>
            <w:top w:w="0" w:type="dxa"/>
            <w:left w:w="0" w:type="dxa"/>
            <w:bottom w:w="0" w:type="dxa"/>
            <w:right w:w="0" w:type="dxa"/>
          </w:tblCellMar>
        </w:tblPrEx>
        <w:trPr>
          <w:trHeight w:val="1365"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年初设定目标</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全年实际完成情况</w:t>
            </w:r>
          </w:p>
        </w:tc>
      </w:tr>
      <w:tr>
        <w:tblPrEx>
          <w:shd w:val="clear" w:color="auto" w:fill="auto"/>
          <w:tblLayout w:type="fixed"/>
          <w:tblCellMar>
            <w:top w:w="0" w:type="dxa"/>
            <w:left w:w="0" w:type="dxa"/>
            <w:bottom w:w="0" w:type="dxa"/>
            <w:right w:w="0" w:type="dxa"/>
          </w:tblCellMar>
        </w:tblPrEx>
        <w:trPr>
          <w:trHeight w:val="1815"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当年整体绩效目标</w:t>
            </w:r>
          </w:p>
        </w:tc>
        <w:tc>
          <w:tcPr>
            <w:tcW w:w="408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高校毕业生定制服务完成95%；创业担保贷款完成100%；公益性岗位管理工作完成95%；培训、送工、就业任务完成95%；养老、医保各项业务办理、政策宣传、下村检查督导工作完成90%。</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我单位2023年绩效目标完成情况：高校毕业生定制服务完成98%；创业担保贷款完成100%；公益性岗位管理工作完成100%；培训、送工、就业任务完成98%；养老、医保各项业务办理、政策宣传、下村检查督导工作完成95%。</w:t>
            </w: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22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408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仿宋" w:hAnsi="仿宋" w:eastAsia="仿宋" w:cs="仿宋"/>
                <w:i w:val="0"/>
                <w:color w:val="000000"/>
                <w:sz w:val="22"/>
                <w:szCs w:val="22"/>
                <w:u w:val="none"/>
              </w:rPr>
            </w:pPr>
          </w:p>
        </w:tc>
      </w:tr>
      <w:tr>
        <w:tblPrEx>
          <w:tblLayout w:type="fixed"/>
          <w:tblCellMar>
            <w:top w:w="0" w:type="dxa"/>
            <w:left w:w="0" w:type="dxa"/>
            <w:bottom w:w="0" w:type="dxa"/>
            <w:right w:w="0" w:type="dxa"/>
          </w:tblCellMar>
        </w:tblPrEx>
        <w:trPr>
          <w:trHeight w:val="870" w:hRule="atLeast"/>
          <w:jc w:val="center"/>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绩效指标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指标权重</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实际完成指标值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未完成原因和改进措施</w:t>
            </w:r>
          </w:p>
        </w:tc>
      </w:tr>
      <w:tr>
        <w:tblPrEx>
          <w:shd w:val="clear" w:color="auto" w:fill="auto"/>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高校毕业生定制服务完成率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创业担保贷款完成率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公益性岗位管理工作完成率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54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培训、送工、就业任务完成率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880" w:hRule="atLeast"/>
          <w:jc w:val="center"/>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养老、医保各项业务办理、政策宣传、下村检查督导工作完成率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11"/>
        <w:keepNext w:val="0"/>
        <w:keepLines w:val="0"/>
        <w:pageBreakBefore w:val="0"/>
        <w:widowControl/>
        <w:kinsoku/>
        <w:wordWrap/>
        <w:overflowPunct/>
        <w:topLinePunct w:val="0"/>
        <w:autoSpaceDE w:val="0"/>
        <w:autoSpaceDN/>
        <w:bidi w:val="0"/>
        <w:adjustRightInd/>
        <w:snapToGrid/>
        <w:spacing w:before="313" w:beforeLines="100"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（二）单位绩效评价情况</w:t>
      </w:r>
    </w:p>
    <w:p>
      <w:pPr>
        <w:pStyle w:val="14"/>
        <w:keepNext w:val="0"/>
        <w:keepLines w:val="0"/>
        <w:pageBreakBefore w:val="0"/>
        <w:widowControl/>
        <w:kinsoku/>
        <w:wordWrap/>
        <w:overflowPunct/>
        <w:topLinePunct w:val="0"/>
        <w:autoSpaceDE w:val="0"/>
        <w:autoSpaceDN/>
        <w:bidi w:val="0"/>
        <w:adjustRightInd/>
        <w:snapToGrid/>
        <w:spacing w:beforeAutospacing="0" w:afterAutospacing="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我单位未组织开展绩效评价。</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3"/>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ind w:firstLine="643" w:firstLineChars="200"/>
        <w:textAlignment w:val="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widowControl/>
        <w:kinsoku/>
        <w:wordWrap/>
        <w:overflowPunct/>
        <w:topLinePunct w:val="0"/>
        <w:autoSpaceDE w:val="0"/>
        <w:autoSpaceDN/>
        <w:bidi w:val="0"/>
        <w:adjustRightInd/>
        <w:snapToGrid/>
        <w:spacing w:beforeAutospacing="0" w:afterAutospacing="0"/>
        <w:ind w:firstLine="640" w:firstLineChars="200"/>
        <w:textAlignment w:val="auto"/>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023-54569</w:t>
      </w:r>
      <w:r>
        <w:rPr>
          <w:rFonts w:hint="eastAsia" w:ascii="Times New Roman" w:hAnsi="Times New Roman" w:eastAsia="方正仿宋_GBK" w:cs="Times New Roman"/>
          <w:sz w:val="32"/>
          <w:szCs w:val="32"/>
          <w:shd w:val="clear" w:color="auto" w:fill="FFFFFF"/>
          <w:lang w:val="en-US" w:eastAsia="zh-CN"/>
        </w:rPr>
        <w:t>008</w:t>
      </w:r>
      <w:bookmarkStart w:id="0" w:name="_GoBack"/>
      <w:bookmarkEnd w:id="0"/>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重庆市忠县兴峰乡劳动就业和社会保障服务所</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63.81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69.41</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69.41</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69.41</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重庆市忠县兴峰乡劳动就业和社会保障服务所</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58.59</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58.59</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重庆市忠县兴峰乡劳动就业和社会保障服务所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63.81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58.59</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58.59</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63.81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69.41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69.41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63.81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63.81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58.59</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58.59</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58.59</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58.59</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63.23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37.99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0.39</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63.23</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6.17</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重庆市忠县兴峰乡劳动就业和社会保障服务所</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0.17</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5D27E6"/>
    <w:rsid w:val="1DA52501"/>
    <w:rsid w:val="1DBD6767"/>
    <w:rsid w:val="1DC52125"/>
    <w:rsid w:val="1DD26311"/>
    <w:rsid w:val="1E2F20FA"/>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2FFE393D"/>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154FE4"/>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4F363E"/>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1E320CF"/>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10307"/>
    <w:rsid w:val="781926BC"/>
    <w:rsid w:val="796D60A4"/>
    <w:rsid w:val="79A031D5"/>
    <w:rsid w:val="7A1525F7"/>
    <w:rsid w:val="7B420052"/>
    <w:rsid w:val="7BD06A28"/>
    <w:rsid w:val="7C3A7C0B"/>
    <w:rsid w:val="7C5248E4"/>
    <w:rsid w:val="7C566698"/>
    <w:rsid w:val="7C5866A3"/>
    <w:rsid w:val="7D7406BB"/>
    <w:rsid w:val="7DE94331"/>
    <w:rsid w:val="7EB7099A"/>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dcterms:modified xsi:type="dcterms:W3CDTF">2024-10-21T09:22:04Z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BB46EABDBB2749749395447164B066B3_12</vt:lpwstr>
  </property>
</Properties>
</file>