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重庆市忠县兴峰乡农业服务中心</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负责本辖区为农业发展提供服务，负责农技、农机、林业、种植、水产等方面重大基数推广，信息服务，资源环境保护，灾害防治等工作</w:t>
      </w:r>
      <w:r>
        <w:rPr>
          <w:rFonts w:hint="default"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内设1个综合办公室和农产品质量安全监管站。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ind w:firstLine="643" w:firstLineChars="200"/>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2023年度收入总计190.29万元，支出总计</w:t>
      </w:r>
      <w:r>
        <w:rPr>
          <w:rFonts w:hint="default" w:ascii="Times New Roman" w:hAnsi="Times New Roman" w:eastAsia="方正仿宋_GBK" w:cs="Times New Roman"/>
          <w:sz w:val="32"/>
          <w:szCs w:val="32"/>
        </w:rPr>
        <w:t>190.29</w:t>
      </w:r>
      <w:r>
        <w:rPr>
          <w:rFonts w:hint="default" w:ascii="Times New Roman" w:hAnsi="Times New Roman" w:eastAsia="方正仿宋_GBK" w:cs="Times New Roman"/>
          <w:sz w:val="32"/>
          <w:szCs w:val="32"/>
          <w:shd w:val="clear" w:color="auto" w:fill="FFFFFF"/>
        </w:rPr>
        <w:t>万元。收支较上年决算数增加36.50万元，增长23.73%，主要原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2023年度本单位在职人员工资调标导致人员经费收入支出增加。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2023年度收入合计190.29万元，较上年决算数增加36.50万元，增长23.73%，主要原因是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2023年度本单位在职人员工资调标导致人员经费收入增加。</w:t>
      </w:r>
      <w:r>
        <w:rPr>
          <w:rFonts w:hint="default" w:ascii="Times New Roman" w:hAnsi="Times New Roman" w:eastAsia="方正仿宋_GBK" w:cs="Times New Roman"/>
          <w:color w:val="auto"/>
          <w:sz w:val="32"/>
          <w:szCs w:val="32"/>
          <w:shd w:val="clear" w:color="auto" w:fill="FFFFFF"/>
        </w:rPr>
        <w:t>其中：</w:t>
      </w:r>
      <w:r>
        <w:rPr>
          <w:rFonts w:hint="default" w:ascii="Times New Roman" w:hAnsi="Times New Roman" w:eastAsia="方正仿宋_GBK" w:cs="Times New Roman"/>
          <w:sz w:val="32"/>
          <w:szCs w:val="32"/>
          <w:shd w:val="clear" w:color="auto" w:fill="FFFFFF"/>
        </w:rPr>
        <w:t>财政拨款收入</w:t>
      </w:r>
      <w:r>
        <w:rPr>
          <w:rFonts w:hint="default" w:ascii="Times New Roman" w:hAnsi="Times New Roman" w:eastAsia="方正仿宋_GBK" w:cs="Times New Roman"/>
          <w:sz w:val="32"/>
          <w:szCs w:val="32"/>
        </w:rPr>
        <w:t>190.29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190.29</w:t>
      </w:r>
      <w:r>
        <w:rPr>
          <w:rFonts w:hint="default" w:ascii="Times New Roman" w:hAnsi="Times New Roman" w:eastAsia="方正仿宋_GBK" w:cs="Times New Roman"/>
          <w:sz w:val="32"/>
          <w:szCs w:val="32"/>
          <w:shd w:val="clear" w:color="auto" w:fill="FFFFFF"/>
        </w:rPr>
        <w:t>万元，较上年决算数增加36.50万元，增长23.73%，主要原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2023年度本单位在职人员工资调标导致人员经费支出增加。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190.29</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2023年度财政拨款收、支总计190.29万元。与2022年相比，财政拨款收、支总计各增加36.50万元，增长23.73%。主要原因是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2023年度本单位在职人员工资调标导致人员经费收入支出增加。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190.29</w:t>
      </w:r>
      <w:r>
        <w:rPr>
          <w:rFonts w:hint="default" w:ascii="Times New Roman" w:hAnsi="Times New Roman" w:eastAsia="方正仿宋_GBK" w:cs="Times New Roman"/>
          <w:color w:val="auto"/>
          <w:sz w:val="32"/>
          <w:szCs w:val="32"/>
          <w:shd w:val="clear" w:color="auto" w:fill="FFFFFF"/>
        </w:rPr>
        <w:t>万元，较上年决算数增加36.50万元，增长23.73%。主要原因是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2023年度本单位在职人员工资调标导致人员经费增加，使得</w:t>
      </w:r>
      <w:r>
        <w:rPr>
          <w:rFonts w:hint="default" w:ascii="Times New Roman" w:hAnsi="Times New Roman" w:eastAsia="方正仿宋_GBK" w:cs="Times New Roman"/>
          <w:color w:val="auto"/>
          <w:sz w:val="32"/>
          <w:szCs w:val="32"/>
          <w:shd w:val="clear" w:color="auto" w:fill="FFFFFF"/>
        </w:rPr>
        <w:t>年度一般公共预算财政拨款收入</w:t>
      </w:r>
      <w:r>
        <w:rPr>
          <w:rFonts w:hint="default" w:ascii="Times New Roman" w:hAnsi="Times New Roman" w:eastAsia="方正仿宋_GBK" w:cs="Times New Roman"/>
          <w:color w:val="auto"/>
          <w:sz w:val="32"/>
          <w:szCs w:val="32"/>
          <w:shd w:val="clear" w:color="auto" w:fill="FFFFFF"/>
          <w:lang w:val="en-US" w:eastAsia="zh-CN"/>
        </w:rPr>
        <w:t>增加。</w:t>
      </w:r>
      <w:r>
        <w:rPr>
          <w:rFonts w:hint="default" w:ascii="Times New Roman" w:hAnsi="Times New Roman" w:eastAsia="方正仿宋_GBK" w:cs="Times New Roman"/>
          <w:color w:val="auto"/>
          <w:sz w:val="32"/>
          <w:szCs w:val="32"/>
          <w:shd w:val="clear" w:color="auto" w:fill="FFFFFF"/>
        </w:rPr>
        <w:t>较年初预算数增加28.39万元，增长17.54%。主要原因是</w:t>
      </w:r>
      <w:r>
        <w:rPr>
          <w:rFonts w:hint="default" w:ascii="Times New Roman" w:hAnsi="Times New Roman" w:eastAsia="方正仿宋_GBK" w:cs="Times New Roman"/>
          <w:color w:val="auto"/>
          <w:sz w:val="32"/>
          <w:szCs w:val="32"/>
          <w:shd w:val="clear" w:color="auto" w:fill="FFFFFF"/>
          <w:lang w:val="en-US" w:eastAsia="zh-CN"/>
        </w:rPr>
        <w:t>年中调整预算纳入在职人员工资调标等经费。</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190.29</w:t>
      </w:r>
      <w:r>
        <w:rPr>
          <w:rFonts w:hint="default" w:ascii="Times New Roman" w:hAnsi="Times New Roman" w:eastAsia="方正仿宋_GBK" w:cs="Times New Roman"/>
          <w:sz w:val="32"/>
          <w:szCs w:val="32"/>
          <w:shd w:val="clear" w:color="auto" w:fill="FFFFFF"/>
        </w:rPr>
        <w:t>万元，较上年决算数增加36.50万元，增长23.73%。主要原因是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2023年度本单位在职人员工资调标导致人员经费增加，使得</w:t>
      </w:r>
      <w:r>
        <w:rPr>
          <w:rFonts w:hint="default" w:ascii="Times New Roman" w:hAnsi="Times New Roman" w:eastAsia="方正仿宋_GBK" w:cs="Times New Roman"/>
          <w:color w:val="auto"/>
          <w:sz w:val="32"/>
          <w:szCs w:val="32"/>
          <w:shd w:val="clear" w:color="auto" w:fill="FFFFFF"/>
        </w:rPr>
        <w:t>年度一般公共预算财政拨款</w:t>
      </w:r>
      <w:r>
        <w:rPr>
          <w:rFonts w:hint="default" w:ascii="Times New Roman" w:hAnsi="Times New Roman" w:eastAsia="方正仿宋_GBK" w:cs="Times New Roman"/>
          <w:color w:val="auto"/>
          <w:sz w:val="32"/>
          <w:szCs w:val="32"/>
          <w:shd w:val="clear" w:color="auto" w:fill="FFFFFF"/>
          <w:lang w:val="en-US" w:eastAsia="zh-CN"/>
        </w:rPr>
        <w:t>支出增加。</w:t>
      </w:r>
      <w:r>
        <w:rPr>
          <w:rFonts w:hint="default" w:ascii="Times New Roman" w:hAnsi="Times New Roman" w:eastAsia="方正仿宋_GBK" w:cs="Times New Roman"/>
          <w:sz w:val="32"/>
          <w:szCs w:val="32"/>
          <w:shd w:val="clear" w:color="auto" w:fill="FFFFFF"/>
        </w:rPr>
        <w:t>较年初预算数增加28.39万元，增长17.54%。主要原因是</w:t>
      </w:r>
      <w:r>
        <w:rPr>
          <w:rFonts w:hint="default" w:ascii="Times New Roman" w:hAnsi="Times New Roman" w:eastAsia="方正仿宋_GBK" w:cs="Times New Roman"/>
          <w:color w:val="auto"/>
          <w:sz w:val="32"/>
          <w:szCs w:val="32"/>
          <w:shd w:val="clear" w:color="auto" w:fill="FFFFFF"/>
          <w:lang w:val="en-US" w:eastAsia="zh-CN"/>
        </w:rPr>
        <w:t>年中调整预算纳入在职人员工资调标等经费。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0.27</w:t>
      </w:r>
      <w:r>
        <w:rPr>
          <w:rFonts w:hint="default" w:ascii="Times New Roman" w:hAnsi="Times New Roman" w:eastAsia="方正仿宋_GBK" w:cs="Times New Roman"/>
          <w:sz w:val="32"/>
          <w:szCs w:val="32"/>
          <w:shd w:val="clear" w:color="auto" w:fill="FFFFFF"/>
        </w:rPr>
        <w:t>%，较年初预算数减少0.0</w:t>
      </w:r>
      <w:r>
        <w:rPr>
          <w:rFonts w:hint="default" w:ascii="Times New Roman" w:hAnsi="Times New Roman" w:eastAsia="方正仿宋_GBK" w:cs="Times New Roman"/>
          <w:color w:val="auto"/>
          <w:sz w:val="32"/>
          <w:szCs w:val="32"/>
          <w:shd w:val="clear" w:color="auto" w:fill="FFFFFF"/>
        </w:rPr>
        <w:t>6万元，下降10.34%，主要原因是</w:t>
      </w:r>
      <w:r>
        <w:rPr>
          <w:rFonts w:hint="default" w:ascii="Times New Roman" w:hAnsi="Times New Roman" w:eastAsia="方正仿宋_GBK" w:cs="Times New Roman"/>
          <w:color w:val="auto"/>
          <w:sz w:val="32"/>
          <w:szCs w:val="32"/>
          <w:shd w:val="clear" w:color="auto" w:fill="FFFFFF"/>
          <w:lang w:val="en-US" w:eastAsia="zh-CN"/>
        </w:rPr>
        <w:t>退休职工导致</w:t>
      </w:r>
      <w:r>
        <w:rPr>
          <w:rFonts w:hint="eastAsia" w:ascii="Times New Roman" w:hAnsi="Times New Roman" w:eastAsia="方正仿宋_GBK" w:cs="Times New Roman"/>
          <w:color w:val="auto"/>
          <w:sz w:val="32"/>
          <w:szCs w:val="32"/>
          <w:shd w:val="clear" w:color="auto" w:fill="FFFFFF"/>
          <w:lang w:val="en-US" w:eastAsia="zh-CN"/>
        </w:rPr>
        <w:t>培训</w:t>
      </w:r>
      <w:r>
        <w:rPr>
          <w:rFonts w:hint="default" w:ascii="Times New Roman" w:hAnsi="Times New Roman" w:eastAsia="方正仿宋_GBK" w:cs="Times New Roman"/>
          <w:color w:val="auto"/>
          <w:sz w:val="32"/>
          <w:szCs w:val="32"/>
          <w:shd w:val="clear" w:color="auto" w:fill="FFFFFF"/>
          <w:lang w:val="en-US" w:eastAsia="zh-CN"/>
        </w:rPr>
        <w:t>人数减少。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19.34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10.17</w:t>
      </w:r>
      <w:r>
        <w:rPr>
          <w:rFonts w:hint="default" w:ascii="Times New Roman" w:hAnsi="Times New Roman" w:eastAsia="方正仿宋_GBK" w:cs="Times New Roman"/>
          <w:color w:val="auto"/>
          <w:sz w:val="32"/>
          <w:szCs w:val="32"/>
          <w:shd w:val="clear" w:color="auto" w:fill="FFFFFF"/>
        </w:rPr>
        <w:t>%，较年初预算数减少1.38万元，下降6.66%，主要原因是</w:t>
      </w:r>
      <w:r>
        <w:rPr>
          <w:rFonts w:hint="default" w:ascii="Times New Roman" w:hAnsi="Times New Roman" w:eastAsia="方正仿宋_GBK" w:cs="Times New Roman"/>
          <w:color w:val="auto"/>
          <w:sz w:val="32"/>
          <w:szCs w:val="32"/>
          <w:shd w:val="clear" w:color="auto" w:fill="FFFFFF"/>
          <w:lang w:val="en-US" w:eastAsia="zh-CN"/>
        </w:rPr>
        <w:t>退休职工导致养老保险缴费人数减少。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7.20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3.78</w:t>
      </w:r>
      <w:r>
        <w:rPr>
          <w:rFonts w:hint="default" w:ascii="Times New Roman" w:hAnsi="Times New Roman" w:eastAsia="方正仿宋_GBK" w:cs="Times New Roman"/>
          <w:color w:val="auto"/>
          <w:sz w:val="32"/>
          <w:szCs w:val="32"/>
          <w:shd w:val="clear" w:color="auto" w:fill="FFFFFF"/>
        </w:rPr>
        <w:t>%，较年初预算数减少0.95万元，下降11.66%，主要原因是</w:t>
      </w:r>
      <w:r>
        <w:rPr>
          <w:rFonts w:hint="default" w:ascii="Times New Roman" w:hAnsi="Times New Roman" w:eastAsia="方正仿宋_GBK" w:cs="Times New Roman"/>
          <w:color w:val="auto"/>
          <w:sz w:val="32"/>
          <w:szCs w:val="32"/>
          <w:shd w:val="clear" w:color="auto" w:fill="FFFFFF"/>
          <w:lang w:val="en-US" w:eastAsia="zh-CN"/>
        </w:rPr>
        <w:t>退休职工导致医疗保险缴费人数减少。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）农林水支出</w:t>
      </w:r>
      <w:r>
        <w:rPr>
          <w:rFonts w:hint="default" w:ascii="Times New Roman" w:hAnsi="Times New Roman" w:eastAsia="方正仿宋_GBK" w:cs="Times New Roman"/>
          <w:color w:val="auto"/>
          <w:sz w:val="32"/>
          <w:szCs w:val="32"/>
        </w:rPr>
        <w:t>155.84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81.89</w:t>
      </w:r>
      <w:r>
        <w:rPr>
          <w:rFonts w:hint="default" w:ascii="Times New Roman" w:hAnsi="Times New Roman" w:eastAsia="方正仿宋_GBK" w:cs="Times New Roman"/>
          <w:color w:val="auto"/>
          <w:sz w:val="32"/>
          <w:szCs w:val="32"/>
          <w:shd w:val="clear" w:color="auto" w:fill="FFFFFF"/>
        </w:rPr>
        <w:t>%，较年初预算数增加31.75万元，增长25.59%，主要原因是</w:t>
      </w:r>
      <w:r>
        <w:rPr>
          <w:rFonts w:hint="default" w:ascii="Times New Roman" w:hAnsi="Times New Roman" w:eastAsia="方正仿宋_GBK" w:cs="Times New Roman"/>
          <w:color w:val="auto"/>
          <w:sz w:val="32"/>
          <w:szCs w:val="32"/>
          <w:shd w:val="clear" w:color="auto" w:fill="FFFFFF"/>
          <w:lang w:val="en-US" w:eastAsia="zh-CN"/>
        </w:rPr>
        <w:t>财政追加的专项资金增加，导致全年费用较年初预算增加。</w:t>
      </w:r>
    </w:p>
    <w:p>
      <w:pPr>
        <w:keepNext w:val="0"/>
        <w:keepLines w:val="0"/>
        <w:pageBreakBefore w:val="0"/>
        <w:widowControl/>
        <w:kinsoku/>
        <w:wordWrap/>
        <w:overflowPunct/>
        <w:topLinePunct w:val="0"/>
        <w:autoSpaceDN/>
        <w:bidi w:val="0"/>
        <w:adjustRightInd/>
        <w:spacing w:beforeAutospacing="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住房保障支出7.40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3.89</w:t>
      </w:r>
      <w:r>
        <w:rPr>
          <w:rFonts w:hint="default" w:ascii="Times New Roman" w:hAnsi="Times New Roman" w:eastAsia="方正仿宋_GBK" w:cs="Times New Roman"/>
          <w:color w:val="auto"/>
          <w:sz w:val="32"/>
          <w:szCs w:val="32"/>
          <w:shd w:val="clear" w:color="auto" w:fill="FFFFFF"/>
        </w:rPr>
        <w:t>%，较年初预算数减少0.96万元，下降11.48%，主要原因是</w:t>
      </w:r>
      <w:r>
        <w:rPr>
          <w:rFonts w:hint="default" w:ascii="Times New Roman" w:hAnsi="Times New Roman" w:eastAsia="方正仿宋_GBK" w:cs="Times New Roman"/>
          <w:color w:val="auto"/>
          <w:sz w:val="32"/>
          <w:szCs w:val="32"/>
          <w:shd w:val="clear" w:color="auto" w:fill="FFFFFF"/>
          <w:lang w:val="en-US" w:eastAsia="zh-CN"/>
        </w:rPr>
        <w:t>退休职工导致住房公积金缴费人数减少。</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190.29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176.88</w:t>
      </w:r>
      <w:r>
        <w:rPr>
          <w:rFonts w:hint="default" w:ascii="Times New Roman" w:hAnsi="Times New Roman" w:eastAsia="方正仿宋_GBK" w:cs="Times New Roman"/>
          <w:sz w:val="32"/>
          <w:szCs w:val="32"/>
          <w:shd w:val="clear" w:color="auto" w:fill="FFFFFF"/>
        </w:rPr>
        <w:t>万元，较上年决算数增加39.44万元，增长28.70%，主要原因是</w:t>
      </w:r>
      <w:r>
        <w:rPr>
          <w:rFonts w:hint="default" w:ascii="Times New Roman" w:hAnsi="Times New Roman" w:eastAsia="方正仿宋_GBK" w:cs="Times New Roman"/>
          <w:color w:val="auto"/>
          <w:sz w:val="32"/>
          <w:szCs w:val="32"/>
          <w:shd w:val="clear" w:color="auto" w:fill="FFFFFF"/>
          <w:lang w:val="en-US" w:eastAsia="zh-CN"/>
        </w:rPr>
        <w:t>2023年度本单位在职人员工资调标导致人员经费增加。</w:t>
      </w:r>
      <w:r>
        <w:rPr>
          <w:rFonts w:hint="default" w:ascii="Times New Roman" w:hAnsi="Times New Roman" w:eastAsia="方正仿宋_GBK" w:cs="Times New Roman"/>
          <w:sz w:val="32"/>
          <w:szCs w:val="32"/>
          <w:shd w:val="clear" w:color="auto" w:fill="FFFFFF"/>
        </w:rPr>
        <w:t>人员经费用途主要包</w:t>
      </w:r>
      <w:r>
        <w:rPr>
          <w:rFonts w:hint="default" w:ascii="Times New Roman" w:hAnsi="Times New Roman" w:eastAsia="方正仿宋_GBK" w:cs="Times New Roman"/>
          <w:color w:val="auto"/>
          <w:sz w:val="32"/>
          <w:szCs w:val="32"/>
          <w:shd w:val="clear" w:color="auto" w:fill="FFFFFF"/>
        </w:rPr>
        <w:t>括</w:t>
      </w:r>
      <w:r>
        <w:rPr>
          <w:rFonts w:hint="default" w:ascii="Times New Roman" w:hAnsi="Times New Roman" w:eastAsia="方正仿宋_GBK" w:cs="Times New Roman"/>
          <w:color w:val="auto"/>
          <w:sz w:val="32"/>
          <w:szCs w:val="32"/>
          <w:shd w:val="clear" w:color="auto" w:fill="FFFFFF"/>
        </w:rPr>
        <w:t>基本工资、津贴补贴、绩效工资、住房公积金、养老保险、职业年金、医疗保险、绩效考核。</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13.41</w:t>
      </w:r>
      <w:r>
        <w:rPr>
          <w:rFonts w:hint="default" w:ascii="Times New Roman" w:hAnsi="Times New Roman" w:eastAsia="方正仿宋_GBK" w:cs="Times New Roman"/>
          <w:color w:val="auto"/>
          <w:sz w:val="32"/>
          <w:szCs w:val="32"/>
          <w:shd w:val="clear" w:color="auto" w:fill="FFFFFF"/>
        </w:rPr>
        <w:t>万元，较上年决算数减少2.95万元，下降18.03%，主要原因是</w:t>
      </w:r>
      <w:r>
        <w:rPr>
          <w:rFonts w:hint="default" w:ascii="Times New Roman" w:hAnsi="Times New Roman" w:eastAsia="方正仿宋_GBK" w:cs="Times New Roman"/>
          <w:color w:val="auto"/>
          <w:sz w:val="32"/>
          <w:szCs w:val="32"/>
          <w:shd w:val="clear" w:color="auto" w:fill="FFFFFF"/>
          <w:lang w:val="en-US" w:eastAsia="zh-CN"/>
        </w:rPr>
        <w:t>我单位缩减开支，办公费、差旅费等支出减少。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w:t>
      </w:r>
      <w:r>
        <w:rPr>
          <w:rFonts w:hint="default" w:ascii="Times New Roman" w:hAnsi="Times New Roman" w:eastAsia="方正仿宋_GBK" w:cs="Times New Roman"/>
          <w:color w:val="auto"/>
          <w:sz w:val="32"/>
          <w:szCs w:val="32"/>
          <w:shd w:val="clear" w:color="auto" w:fill="FFFFFF"/>
        </w:rPr>
        <w:t>公费、差旅费、水电费、邮电费、交通费、福利费、工会费</w:t>
      </w:r>
      <w:r>
        <w:rPr>
          <w:rFonts w:hint="default" w:ascii="Times New Roman" w:hAnsi="Times New Roman" w:eastAsia="方正仿宋_GBK" w:cs="Times New Roman"/>
          <w:color w:val="auto"/>
          <w:sz w:val="32"/>
          <w:szCs w:val="32"/>
          <w:shd w:val="clear" w:color="auto" w:fill="FFFFFF"/>
        </w:rPr>
        <w:t>等。</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严格执行年初预算。</w:t>
      </w:r>
      <w:r>
        <w:rPr>
          <w:rFonts w:hint="default" w:ascii="Times New Roman" w:hAnsi="Times New Roman" w:eastAsia="方正仿宋_GBK" w:cs="Times New Roman"/>
          <w:color w:val="auto"/>
          <w:sz w:val="32"/>
          <w:szCs w:val="32"/>
          <w:shd w:val="clear" w:color="auto" w:fill="FFFFFF"/>
        </w:rPr>
        <w:t>较上年支出数增加0.12万元，增长100.00%，主要原因是</w:t>
      </w:r>
      <w:r>
        <w:rPr>
          <w:rFonts w:hint="default" w:ascii="Times New Roman" w:hAnsi="Times New Roman" w:eastAsia="方正仿宋_GBK" w:cs="Times New Roman"/>
          <w:color w:val="auto"/>
          <w:sz w:val="32"/>
          <w:szCs w:val="32"/>
          <w:shd w:val="clear" w:color="auto" w:fill="FFFFFF"/>
          <w:lang w:val="en-US" w:eastAsia="zh-CN"/>
        </w:rPr>
        <w:t>上级单位来人联系检查工作增加。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w:t>
      </w:r>
      <w:r>
        <w:rPr>
          <w:rFonts w:hint="default" w:ascii="Times New Roman" w:hAnsi="Times New Roman" w:eastAsia="方正仿宋_GBK" w:cs="Times New Roman"/>
          <w:sz w:val="32"/>
          <w:szCs w:val="32"/>
          <w:shd w:val="clear" w:color="auto" w:fill="FFFFFF"/>
          <w:lang w:val="en-US" w:eastAsia="zh-CN"/>
        </w:rPr>
        <w:t>等费用。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0.12</w:t>
      </w:r>
      <w:r>
        <w:rPr>
          <w:rFonts w:hint="default" w:ascii="Times New Roman" w:hAnsi="Times New Roman" w:eastAsia="方正仿宋_GBK" w:cs="Times New Roman"/>
          <w:sz w:val="32"/>
          <w:szCs w:val="32"/>
          <w:shd w:val="clear" w:color="auto" w:fill="FFFFFF"/>
        </w:rPr>
        <w:t>万元，主要</w:t>
      </w:r>
      <w:r>
        <w:rPr>
          <w:rFonts w:hint="default" w:ascii="Times New Roman" w:hAnsi="Times New Roman" w:eastAsia="方正仿宋_GBK" w:cs="Times New Roman"/>
          <w:color w:val="auto"/>
          <w:sz w:val="32"/>
          <w:szCs w:val="32"/>
          <w:shd w:val="clear" w:color="auto" w:fill="FFFFFF"/>
        </w:rPr>
        <w:t>用于接待</w:t>
      </w:r>
      <w:r>
        <w:rPr>
          <w:rFonts w:hint="default" w:ascii="Times New Roman" w:hAnsi="Times New Roman" w:eastAsia="方正仿宋_GBK" w:cs="Times New Roman"/>
          <w:color w:val="auto"/>
          <w:sz w:val="32"/>
          <w:szCs w:val="32"/>
          <w:shd w:val="clear" w:color="auto" w:fill="FFFFFF"/>
          <w:lang w:val="en-US" w:eastAsia="zh-CN"/>
        </w:rPr>
        <w:t>上级单位来人联系检车工资。</w:t>
      </w:r>
      <w:r>
        <w:rPr>
          <w:rFonts w:hint="default" w:ascii="Times New Roman" w:hAnsi="Times New Roman" w:eastAsia="方正仿宋_GBK" w:cs="Times New Roman"/>
          <w:color w:val="auto"/>
          <w:sz w:val="32"/>
          <w:szCs w:val="32"/>
          <w:shd w:val="clear" w:color="auto" w:fill="FFFFFF"/>
        </w:rPr>
        <w:t>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严格控制支出，执行年初预算。</w:t>
      </w:r>
      <w:r>
        <w:rPr>
          <w:rFonts w:hint="default" w:ascii="Times New Roman" w:hAnsi="Times New Roman" w:eastAsia="方正仿宋_GBK" w:cs="Times New Roman"/>
          <w:color w:val="auto"/>
          <w:sz w:val="32"/>
          <w:szCs w:val="32"/>
          <w:shd w:val="clear" w:color="auto" w:fill="FFFFFF"/>
        </w:rPr>
        <w:t>较上年支出数增加0.12万元，增长100.00%，主要原因是</w:t>
      </w:r>
      <w:r>
        <w:rPr>
          <w:rFonts w:hint="default" w:ascii="Times New Roman" w:hAnsi="Times New Roman" w:eastAsia="方正仿宋_GBK" w:cs="Times New Roman"/>
          <w:color w:val="auto"/>
          <w:sz w:val="32"/>
          <w:szCs w:val="32"/>
          <w:shd w:val="clear" w:color="auto" w:fill="FFFFFF"/>
          <w:lang w:val="en-US" w:eastAsia="zh-CN"/>
        </w:rPr>
        <w:t>上级单位来人联系检查工作增加。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60.00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本单位系小单位，不涉及大型会议召开，故财政未保障我单位会议费</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0.52</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本单位严格控制培训费用支出，按照规定开展人员培训</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default" w:ascii="Times New Roman" w:hAnsi="Times New Roman" w:eastAsia="方正仿宋_GBK" w:cs="Times New Roman"/>
          <w:sz w:val="32"/>
          <w:szCs w:val="32"/>
          <w:shd w:val="clear" w:color="auto" w:fill="FFFFFF"/>
          <w:lang w:val="en-US" w:eastAsia="zh-CN"/>
        </w:rPr>
        <w:t>190.29</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W w:w="8220" w:type="dxa"/>
        <w:jc w:val="center"/>
        <w:tblInd w:w="62" w:type="dxa"/>
        <w:shd w:val="clear"/>
        <w:tblLayout w:type="fixed"/>
        <w:tblCellMar>
          <w:top w:w="0" w:type="dxa"/>
          <w:left w:w="0" w:type="dxa"/>
          <w:bottom w:w="0" w:type="dxa"/>
          <w:right w:w="0" w:type="dxa"/>
        </w:tblCellMar>
      </w:tblPr>
      <w:tblGrid>
        <w:gridCol w:w="900"/>
        <w:gridCol w:w="2040"/>
        <w:gridCol w:w="645"/>
        <w:gridCol w:w="615"/>
        <w:gridCol w:w="780"/>
        <w:gridCol w:w="1080"/>
        <w:gridCol w:w="1080"/>
        <w:gridCol w:w="1080"/>
      </w:tblGrid>
      <w:tr>
        <w:tblPrEx>
          <w:shd w:val="clear"/>
          <w:tblLayout w:type="fixed"/>
          <w:tblCellMar>
            <w:top w:w="0" w:type="dxa"/>
            <w:left w:w="0" w:type="dxa"/>
            <w:bottom w:w="0" w:type="dxa"/>
            <w:right w:w="0" w:type="dxa"/>
          </w:tblCellMar>
        </w:tblPrEx>
        <w:trPr>
          <w:trHeight w:val="930" w:hRule="atLeast"/>
          <w:jc w:val="center"/>
        </w:trPr>
        <w:tc>
          <w:tcPr>
            <w:tcW w:w="8220"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6"/>
                <w:szCs w:val="36"/>
                <w:u w:val="none"/>
                <w:lang w:val="en-US" w:eastAsia="zh-CN" w:bidi="ar"/>
              </w:rPr>
              <w:t>2023年部门（单位）整体绩效目标自评表</w:t>
            </w:r>
          </w:p>
        </w:tc>
      </w:tr>
      <w:tr>
        <w:tblPrEx>
          <w:tblLayout w:type="fixed"/>
          <w:tblCellMar>
            <w:top w:w="0" w:type="dxa"/>
            <w:left w:w="0" w:type="dxa"/>
            <w:bottom w:w="0" w:type="dxa"/>
            <w:right w:w="0" w:type="dxa"/>
          </w:tblCellMar>
        </w:tblPrEx>
        <w:trPr>
          <w:trHeight w:val="1155"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部门（单位）名称</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忠县兴峰乡农业服务中心</w:t>
            </w:r>
          </w:p>
        </w:tc>
        <w:tc>
          <w:tcPr>
            <w:tcW w:w="12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预算支出总量（万元）</w:t>
            </w:r>
          </w:p>
        </w:tc>
        <w:tc>
          <w:tcPr>
            <w:tcW w:w="186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190.29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实际支出总量（万元）</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190.29</w:t>
            </w:r>
          </w:p>
        </w:tc>
      </w:tr>
      <w:tr>
        <w:tblPrEx>
          <w:tblLayout w:type="fixed"/>
          <w:tblCellMar>
            <w:top w:w="0" w:type="dxa"/>
            <w:left w:w="0" w:type="dxa"/>
            <w:bottom w:w="0" w:type="dxa"/>
            <w:right w:w="0" w:type="dxa"/>
          </w:tblCellMar>
        </w:tblPrEx>
        <w:trPr>
          <w:trHeight w:val="480" w:hRule="atLeast"/>
          <w:jc w:val="center"/>
        </w:trPr>
        <w:tc>
          <w:tcPr>
            <w:tcW w:w="9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年初设定目标</w:t>
            </w:r>
          </w:p>
        </w:tc>
        <w:tc>
          <w:tcPr>
            <w:tcW w:w="32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全年实际完成情况</w:t>
            </w:r>
          </w:p>
        </w:tc>
      </w:tr>
      <w:tr>
        <w:tblPrEx>
          <w:tblLayout w:type="fixed"/>
          <w:tblCellMar>
            <w:top w:w="0" w:type="dxa"/>
            <w:left w:w="0" w:type="dxa"/>
            <w:bottom w:w="0" w:type="dxa"/>
            <w:right w:w="0" w:type="dxa"/>
          </w:tblCellMar>
        </w:tblPrEx>
        <w:trPr>
          <w:trHeight w:val="36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当年整体绩效目标</w:t>
            </w:r>
          </w:p>
        </w:tc>
        <w:tc>
          <w:tcPr>
            <w:tcW w:w="4080" w:type="dxa"/>
            <w:gridSpan w:val="4"/>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推广农业科学技术覆盖率85%；农产品质量安全监管达到95%；重大疫情监控及防治达到100%；涉农安全生产工作宣传、督导全乡覆盖率100%；完成各类涉农补贴发放100%；化肥农药减量1%。</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单位2023年绩效目标完成情况：推广农业科学技术覆盖率90%；农产品质量安全监管达到98%；重大疫情监控及防治达到100%；涉农安全生产工作宣传、督导全乡覆盖率100%；完成各类涉农补贴发放100%；化肥农药减量1.08%。</w:t>
            </w: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88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绩效指标</w:t>
            </w: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实际完成指标值</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未完成原因和改进措施</w:t>
            </w: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推广农业科学技术覆盖率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农产品质量安全监管率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重大疫情监控及防治率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完成各类涉农补贴户数</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8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涉农安全生产工作宣传、督导全乡覆盖率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化肥农药减量率</w:t>
            </w:r>
          </w:p>
        </w:tc>
        <w:tc>
          <w:tcPr>
            <w:tcW w:w="64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napToGrid/>
        <w:spacing w:before="313" w:beforeLines="100"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0" w:firstLineChars="20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023-545</w:t>
      </w:r>
      <w:r>
        <w:rPr>
          <w:rFonts w:hint="eastAsia" w:ascii="Times New Roman" w:hAnsi="Times New Roman" w:eastAsia="方正仿宋_GBK" w:cs="Times New Roman"/>
          <w:sz w:val="32"/>
          <w:szCs w:val="32"/>
          <w:shd w:val="clear" w:color="auto" w:fill="FFFFFF"/>
          <w:lang w:val="en-US" w:eastAsia="zh-CN"/>
        </w:rPr>
        <w:t>69008</w:t>
      </w: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重庆市忠县兴峰乡农业服务中心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19.34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155.84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190.29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重庆市忠县兴峰乡农业服务中心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重庆市忠县兴峰乡农业服务中心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190.29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190.29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19.34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155.84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176.88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重庆市忠县兴峰乡农业服务中心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671EA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3629B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94367"/>
    <w:rsid w:val="3D2757A1"/>
    <w:rsid w:val="3D3D4FC4"/>
    <w:rsid w:val="3DDF3AB1"/>
    <w:rsid w:val="3E1D0952"/>
    <w:rsid w:val="3E42660A"/>
    <w:rsid w:val="3E7555B1"/>
    <w:rsid w:val="3E787ED9"/>
    <w:rsid w:val="3F032E93"/>
    <w:rsid w:val="3F0527E5"/>
    <w:rsid w:val="3F694D83"/>
    <w:rsid w:val="3F885DCC"/>
    <w:rsid w:val="3FCD675E"/>
    <w:rsid w:val="4004000C"/>
    <w:rsid w:val="409355CF"/>
    <w:rsid w:val="40BD5482"/>
    <w:rsid w:val="411B6CE5"/>
    <w:rsid w:val="412070D7"/>
    <w:rsid w:val="41314E40"/>
    <w:rsid w:val="41E0734B"/>
    <w:rsid w:val="426C1EA8"/>
    <w:rsid w:val="42736402"/>
    <w:rsid w:val="42E86A87"/>
    <w:rsid w:val="43307B09"/>
    <w:rsid w:val="439A3EB9"/>
    <w:rsid w:val="43BB152F"/>
    <w:rsid w:val="44C37687"/>
    <w:rsid w:val="45CB699A"/>
    <w:rsid w:val="45D6643E"/>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55D01"/>
    <w:rsid w:val="71C34D91"/>
    <w:rsid w:val="72DB435C"/>
    <w:rsid w:val="72E2613A"/>
    <w:rsid w:val="72F771F4"/>
    <w:rsid w:val="73934AD2"/>
    <w:rsid w:val="750837F0"/>
    <w:rsid w:val="754758CF"/>
    <w:rsid w:val="764F62AB"/>
    <w:rsid w:val="765C45EC"/>
    <w:rsid w:val="768A7619"/>
    <w:rsid w:val="772E1EBA"/>
    <w:rsid w:val="781926BC"/>
    <w:rsid w:val="793F36A3"/>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2024-10-21T08:57:25Z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BB46EABDBB2749749395447164B066B3_12</vt:lpwstr>
  </property>
</Properties>
</file>