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重庆市忠县兴峰乡综合行政执法大队</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0" w:afterAutospacing="0"/>
        <w:ind w:firstLine="643" w:firstLineChars="200"/>
        <w:textAlignment w:val="auto"/>
        <w:rPr>
          <w:rFonts w:hint="default" w:ascii="Times New Roman" w:hAnsi="Times New Roman" w:eastAsia="黑体" w:cs="Times New Roman"/>
          <w:sz w:val="32"/>
          <w:szCs w:val="32"/>
        </w:rPr>
      </w:pPr>
      <w:bookmarkStart w:id="0" w:name="_GoBack"/>
      <w:bookmarkEnd w:id="0"/>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宣传贯彻执行党和国家的方针政策和有关农林水利、规划建设、环境保护、卫生健康、文化旅游、民政管理等领域的法律、法规和规章。依法行使本辖区范围内关农林水利、规划建设、环境保护、卫生健康、文化旅游、民政管理等领域行政执法。</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00" w:firstLineChars="200"/>
        <w:textAlignment w:val="auto"/>
        <w:rPr>
          <w:rFonts w:hint="default" w:ascii="Times New Roman" w:hAnsi="Times New Roman" w:eastAsia="宋体" w:cs="Times New Roman"/>
          <w:kern w:val="0"/>
          <w:sz w:val="30"/>
          <w:szCs w:val="30"/>
          <w:shd w:val="clear" w:fill="FFFFFF"/>
          <w:lang w:eastAsia="zh-CN"/>
        </w:rPr>
      </w:pPr>
      <w:r>
        <w:rPr>
          <w:rFonts w:hint="default" w:ascii="Times New Roman" w:hAnsi="Times New Roman" w:eastAsia="宋体" w:cs="Times New Roman"/>
          <w:kern w:val="0"/>
          <w:sz w:val="30"/>
          <w:szCs w:val="30"/>
          <w:shd w:val="clear" w:fill="FFFFFF"/>
        </w:rPr>
        <w:t>执法队内设1个综合办公室</w:t>
      </w:r>
      <w:r>
        <w:rPr>
          <w:rFonts w:hint="default" w:ascii="Times New Roman" w:hAnsi="Times New Roman" w:cs="Times New Roman"/>
          <w:kern w:val="0"/>
          <w:sz w:val="30"/>
          <w:szCs w:val="30"/>
          <w:shd w:val="clear"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643" w:firstLineChars="200"/>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2023年度收入总计103.69万元，支出总计</w:t>
      </w:r>
      <w:r>
        <w:rPr>
          <w:rFonts w:hint="default" w:ascii="Times New Roman" w:hAnsi="Times New Roman" w:eastAsia="方正仿宋_GBK" w:cs="Times New Roman"/>
          <w:sz w:val="32"/>
          <w:szCs w:val="32"/>
        </w:rPr>
        <w:t>103.69</w:t>
      </w:r>
      <w:r>
        <w:rPr>
          <w:rFonts w:hint="default" w:ascii="Times New Roman" w:hAnsi="Times New Roman" w:eastAsia="方正仿宋_GBK" w:cs="Times New Roman"/>
          <w:sz w:val="32"/>
          <w:szCs w:val="32"/>
          <w:shd w:val="clear" w:color="auto" w:fill="FFFFFF"/>
        </w:rPr>
        <w:t>万元。收支较上年决算数增加19.57万元，增长23.26%，主要原因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2023年本单位人员经费收支增加。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2023年度收入合计103.69万元，较上年决算数增加19.57万元，增长23.26%，主要原因是</w:t>
      </w:r>
      <w:r>
        <w:rPr>
          <w:rFonts w:hint="default" w:ascii="Times New Roman" w:hAnsi="Times New Roman" w:eastAsia="方正仿宋_GBK" w:cs="Times New Roman"/>
          <w:color w:val="auto"/>
          <w:sz w:val="32"/>
          <w:szCs w:val="32"/>
          <w:shd w:val="clear" w:color="auto" w:fill="FFFFFF"/>
          <w:lang w:val="en-US" w:eastAsia="zh-CN"/>
        </w:rPr>
        <w:t>2023年本单位在职人员工资调标导致人员经费收入增加。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103.69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103.69</w:t>
      </w:r>
      <w:r>
        <w:rPr>
          <w:rFonts w:hint="default" w:ascii="Times New Roman" w:hAnsi="Times New Roman" w:eastAsia="方正仿宋_GBK" w:cs="Times New Roman"/>
          <w:color w:val="auto"/>
          <w:sz w:val="32"/>
          <w:szCs w:val="32"/>
          <w:shd w:val="clear" w:color="auto" w:fill="FFFFFF"/>
        </w:rPr>
        <w:t>万元，较上年决算数增加19.57万元，增长23.26%，主要原因是</w:t>
      </w:r>
      <w:r>
        <w:rPr>
          <w:rFonts w:hint="default" w:ascii="Times New Roman" w:hAnsi="Times New Roman" w:eastAsia="方正仿宋_GBK" w:cs="Times New Roman"/>
          <w:color w:val="auto"/>
          <w:sz w:val="32"/>
          <w:szCs w:val="32"/>
          <w:shd w:val="clear" w:color="auto" w:fill="FFFFFF"/>
          <w:lang w:val="en-US" w:eastAsia="zh-CN"/>
        </w:rPr>
        <w:t>2023年本单位在职人员工资调标导致人员经费支出增加。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103.69</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本年度收支平衡，严格执行预算，无结转和结余。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2023年度财政拨款收、支总计103.69万元。与2022年相比，财政拨款收、支总计各增加19.57万元，增长23.26%。主要原因是</w:t>
      </w:r>
      <w:r>
        <w:rPr>
          <w:rFonts w:hint="default" w:ascii="Times New Roman" w:hAnsi="Times New Roman" w:eastAsia="方正仿宋_GBK" w:cs="Times New Roman"/>
          <w:color w:val="auto"/>
          <w:sz w:val="32"/>
          <w:szCs w:val="32"/>
          <w:shd w:val="clear" w:color="auto" w:fill="FFFFFF"/>
          <w:lang w:val="en-US" w:eastAsia="zh-CN"/>
        </w:rPr>
        <w:t>2023年本单位在职人员工资调标导致人员经费增加，使得全年财政拨款收支较上年增加。</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103.69</w:t>
      </w:r>
      <w:r>
        <w:rPr>
          <w:rFonts w:hint="default" w:ascii="Times New Roman" w:hAnsi="Times New Roman" w:eastAsia="方正仿宋_GBK" w:cs="Times New Roman"/>
          <w:sz w:val="32"/>
          <w:szCs w:val="32"/>
          <w:shd w:val="clear" w:color="auto" w:fill="FFFFFF"/>
        </w:rPr>
        <w:t>万元，较上年决算数增加19.57万元，增长23.26%。主要原因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本年度我单位在职人员工资调标导致人员经费财政拨款收入较上年增加。</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年初预算数增加16.76万元，增长19.28%。主要原因是</w:t>
      </w:r>
      <w:r>
        <w:rPr>
          <w:rFonts w:hint="default" w:ascii="Times New Roman" w:hAnsi="Times New Roman" w:eastAsia="方正仿宋_GBK" w:cs="Times New Roman"/>
          <w:sz w:val="32"/>
          <w:szCs w:val="32"/>
          <w:shd w:val="clear" w:color="auto" w:fill="FFFFFF"/>
          <w:lang w:val="en-US" w:eastAsia="zh-CN"/>
        </w:rPr>
        <w:t>年中在职人员工资调标导致相关费用较年初预算增加。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103.69</w:t>
      </w:r>
      <w:r>
        <w:rPr>
          <w:rFonts w:hint="default" w:ascii="Times New Roman" w:hAnsi="Times New Roman" w:eastAsia="方正仿宋_GBK" w:cs="Times New Roman"/>
          <w:sz w:val="32"/>
          <w:szCs w:val="32"/>
          <w:shd w:val="clear" w:color="auto" w:fill="FFFFFF"/>
        </w:rPr>
        <w:t>万元，较上年决算数增加19.57万元，增长23.26%。主要原因是</w:t>
      </w:r>
      <w:r>
        <w:rPr>
          <w:rFonts w:hint="default" w:ascii="Times New Roman" w:hAnsi="Times New Roman" w:eastAsia="方正仿宋_GBK" w:cs="Times New Roman"/>
          <w:color w:val="auto"/>
          <w:sz w:val="32"/>
          <w:szCs w:val="32"/>
          <w:shd w:val="clear" w:color="auto" w:fill="FFFFFF"/>
          <w:lang w:val="en-US" w:eastAsia="zh-CN"/>
        </w:rPr>
        <w:t>本年度我单位在职人员工资调标导致人员经费支出较上年增加。</w:t>
      </w:r>
      <w:r>
        <w:rPr>
          <w:rFonts w:hint="default" w:ascii="Times New Roman" w:hAnsi="Times New Roman" w:eastAsia="方正仿宋_GBK" w:cs="Times New Roman"/>
          <w:sz w:val="32"/>
          <w:szCs w:val="32"/>
          <w:shd w:val="clear" w:color="auto" w:fill="FFFFFF"/>
        </w:rPr>
        <w:t>较年初预算数增加16.76万元，增长19.28%。主要原因是</w:t>
      </w:r>
      <w:r>
        <w:rPr>
          <w:rFonts w:hint="default" w:ascii="Times New Roman" w:hAnsi="Times New Roman" w:eastAsia="方正仿宋_GBK" w:cs="Times New Roman"/>
          <w:sz w:val="32"/>
          <w:szCs w:val="32"/>
          <w:shd w:val="clear" w:color="auto" w:fill="FFFFFF"/>
          <w:lang w:val="en-US" w:eastAsia="zh-CN"/>
        </w:rPr>
        <w:t>年中在职人员工资调标导致相关费用支出较年初预算增加。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严格执行预算，全年收支平衡，无结转和结余。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%，较年初预算数无增减，主要原因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严格执行年初预算，控制培训人次。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9.73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9.39</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严格执行年初预算，按规定缴纳职工养老保险、职业年金等。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3.86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3.72</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严格执行年初预算，按规定缴纳职工医疗保险。</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84.34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81.34</w:t>
      </w:r>
      <w:r>
        <w:rPr>
          <w:rFonts w:hint="default" w:ascii="Times New Roman" w:hAnsi="Times New Roman" w:eastAsia="方正仿宋_GBK" w:cs="Times New Roman"/>
          <w:color w:val="auto"/>
          <w:sz w:val="32"/>
          <w:szCs w:val="32"/>
          <w:shd w:val="clear" w:color="auto" w:fill="FFFFFF"/>
        </w:rPr>
        <w:t>%，较年初预算数增加16.76万元，增长24.80%，主要原因是</w:t>
      </w:r>
      <w:r>
        <w:rPr>
          <w:rFonts w:hint="default" w:ascii="Times New Roman" w:hAnsi="Times New Roman" w:eastAsia="方正仿宋_GBK" w:cs="Times New Roman"/>
          <w:color w:val="auto"/>
          <w:sz w:val="32"/>
          <w:szCs w:val="32"/>
          <w:shd w:val="clear" w:color="auto" w:fill="FFFFFF"/>
          <w:lang w:val="en-US" w:eastAsia="zh-CN"/>
        </w:rPr>
        <w:t>2023年本单位在职人员工资调标等导致全年人员经费支出较上年增加。</w:t>
      </w:r>
    </w:p>
    <w:p>
      <w:pPr>
        <w:keepNext w:val="0"/>
        <w:keepLines w:val="0"/>
        <w:pageBreakBefore w:val="0"/>
        <w:widowControl/>
        <w:kinsoku/>
        <w:wordWrap/>
        <w:overflowPunct/>
        <w:topLinePunct w:val="0"/>
        <w:autoSpaceDN/>
        <w:bidi w:val="0"/>
        <w:adjustRightInd/>
        <w:spacing w:beforeAutospacing="0" w:afterAutospacing="0"/>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5.30</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严格执行年初预算，按规定缴纳职工住房公积金。</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103.69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93.30</w:t>
      </w:r>
      <w:r>
        <w:rPr>
          <w:rFonts w:hint="default" w:ascii="Times New Roman" w:hAnsi="Times New Roman" w:eastAsia="方正仿宋_GBK" w:cs="Times New Roman"/>
          <w:sz w:val="32"/>
          <w:szCs w:val="32"/>
          <w:shd w:val="clear" w:color="auto" w:fill="FFFFFF"/>
        </w:rPr>
        <w:t>万元，较上年决算数增加21.12万元，增长29.26%，主要原因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在职人员工资调标、补发往年应发未发职工待遇等导致人员经费支出增加。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人员经费用途主要包括基本工资、津贴补贴、绩效工资、住房公积金、养老保险、职业年金、医疗保险、奖金、绩效考核等。公用经费</w:t>
      </w:r>
      <w:r>
        <w:rPr>
          <w:rFonts w:hint="default" w:ascii="Times New Roman" w:hAnsi="Times New Roman" w:eastAsia="方正仿宋_GBK" w:cs="Times New Roman"/>
          <w:color w:val="auto"/>
          <w:sz w:val="32"/>
          <w:szCs w:val="32"/>
        </w:rPr>
        <w:t>10.39</w:t>
      </w:r>
      <w:r>
        <w:rPr>
          <w:rFonts w:hint="default" w:ascii="Times New Roman" w:hAnsi="Times New Roman" w:eastAsia="方正仿宋_GBK" w:cs="Times New Roman"/>
          <w:color w:val="auto"/>
          <w:sz w:val="32"/>
          <w:szCs w:val="32"/>
          <w:shd w:val="clear" w:color="auto" w:fill="FFFFFF"/>
        </w:rPr>
        <w:t>万元，较上年决算数减少1.55万元，下降12.98%，主要原因是</w:t>
      </w:r>
      <w:r>
        <w:rPr>
          <w:rFonts w:hint="default" w:ascii="Times New Roman" w:hAnsi="Times New Roman" w:eastAsia="方正仿宋_GBK" w:cs="Times New Roman"/>
          <w:color w:val="auto"/>
          <w:sz w:val="32"/>
          <w:szCs w:val="32"/>
          <w:shd w:val="clear" w:color="auto" w:fill="FFFFFF"/>
          <w:lang w:val="en-US" w:eastAsia="zh-CN"/>
        </w:rPr>
        <w:t>2023年本单位缩减开支，办公费差旅费等支出减少。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公用经费用途主要包括办公费、差旅费、水电费、邮电费、</w:t>
      </w:r>
      <w:r>
        <w:rPr>
          <w:rFonts w:hint="default" w:ascii="Times New Roman" w:hAnsi="Times New Roman" w:eastAsia="方正仿宋_GBK" w:cs="Times New Roman"/>
          <w:color w:val="auto"/>
          <w:sz w:val="32"/>
          <w:szCs w:val="32"/>
          <w:shd w:val="clear" w:color="auto" w:fill="FFFFFF"/>
          <w:lang w:val="en-US" w:eastAsia="zh-CN"/>
        </w:rPr>
        <w:t>公务接待费</w:t>
      </w:r>
      <w:r>
        <w:rPr>
          <w:rFonts w:hint="default" w:ascii="Times New Roman" w:hAnsi="Times New Roman" w:eastAsia="方正仿宋_GBK" w:cs="Times New Roman"/>
          <w:color w:val="auto"/>
          <w:sz w:val="32"/>
          <w:szCs w:val="32"/>
          <w:shd w:val="clear" w:color="auto" w:fill="FFFFFF"/>
        </w:rPr>
        <w:t>、其他交通费、福利费、工会费等。</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val="en-US" w:eastAsia="zh-CN"/>
        </w:rPr>
        <w:t>本单位未产生</w:t>
      </w:r>
      <w:r>
        <w:rPr>
          <w:rFonts w:hint="default" w:ascii="Times New Roman" w:hAnsi="Times New Roman" w:eastAsia="方正仿宋_GBK" w:cs="Times New Roman"/>
          <w:sz w:val="32"/>
          <w:szCs w:val="32"/>
          <w:shd w:val="clear" w:color="auto" w:fill="FFFFFF"/>
        </w:rPr>
        <w:t>“三公”经费</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公务车运行维护</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公务接待</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费</w:t>
      </w:r>
      <w:r>
        <w:rPr>
          <w:rFonts w:hint="default" w:ascii="Times New Roman" w:hAnsi="Times New Roman" w:eastAsia="方正仿宋_GBK" w:cs="Times New Roman"/>
          <w:sz w:val="32"/>
          <w:szCs w:val="32"/>
          <w:shd w:val="clear" w:color="auto" w:fill="FFFFFF"/>
          <w:lang w:val="en-US" w:eastAsia="zh-CN"/>
        </w:rPr>
        <w:t>用</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我单位不涉及举行大型会议等，财政未保障我单位会议费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万元，较上年决算数增加0.03万元，增长13.04%，主要原因是</w:t>
      </w:r>
      <w:r>
        <w:rPr>
          <w:rFonts w:hint="default" w:ascii="Times New Roman" w:hAnsi="Times New Roman" w:eastAsia="方正仿宋_GBK" w:cs="Times New Roman"/>
          <w:sz w:val="32"/>
          <w:szCs w:val="32"/>
          <w:shd w:val="clear" w:color="auto" w:fill="FFFFFF"/>
          <w:lang w:val="en-US" w:eastAsia="zh-CN"/>
        </w:rPr>
        <w:t>本年度培训人次增加</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10.39</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rPr>
        <w:t>办公费、电费、邮电费、差旅费、会议费、培训费、工会费、其他交通费。机关运行经费较上年支出数减少1.55万元，下降12.98%，主要原因是</w:t>
      </w:r>
      <w:r>
        <w:rPr>
          <w:rFonts w:hint="default" w:ascii="Times New Roman" w:hAnsi="Times New Roman" w:eastAsia="方正仿宋_GBK" w:cs="Times New Roman"/>
          <w:color w:val="auto"/>
          <w:sz w:val="32"/>
          <w:szCs w:val="32"/>
          <w:shd w:val="clear" w:color="auto" w:fill="FFFFFF"/>
          <w:lang w:val="en-US" w:eastAsia="zh-CN"/>
        </w:rPr>
        <w:t>本年度缩减开支，办公费、差旅费、公务接待费等支出减少。</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eastAsia" w:ascii="Times New Roman" w:hAnsi="Times New Roman" w:eastAsia="方正仿宋_GBK" w:cs="Times New Roman"/>
          <w:sz w:val="32"/>
          <w:szCs w:val="32"/>
          <w:shd w:val="clear" w:color="auto" w:fill="FFFFFF"/>
          <w:lang w:val="en-US" w:eastAsia="zh-CN"/>
        </w:rPr>
        <w:t>103.69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Times New Roman"/>
          <w:b/>
          <w:bCs/>
          <w:sz w:val="28"/>
          <w:szCs w:val="28"/>
          <w:shd w:val="clear" w:color="auto" w:fill="FFFFFF"/>
          <w:lang w:val="en-US" w:eastAsia="zh-CN"/>
        </w:rPr>
      </w:pPr>
      <w:r>
        <w:rPr>
          <w:rFonts w:hint="eastAsia" w:ascii="Times New Roman" w:hAnsi="Times New Roman" w:eastAsia="方正仿宋_GBK" w:cs="Times New Roman"/>
          <w:b/>
          <w:bCs/>
          <w:sz w:val="28"/>
          <w:szCs w:val="28"/>
          <w:shd w:val="clear" w:color="auto" w:fill="FFFFFF"/>
          <w:lang w:val="en-US" w:eastAsia="zh-CN"/>
        </w:rPr>
        <w:t>部门整体绩效目标自评表</w:t>
      </w:r>
    </w:p>
    <w:tbl>
      <w:tblPr>
        <w:tblStyle w:val="7"/>
        <w:tblW w:w="8330" w:type="dxa"/>
        <w:tblInd w:w="91" w:type="dxa"/>
        <w:shd w:val="clear" w:color="auto" w:fill="auto"/>
        <w:tblLayout w:type="fixed"/>
        <w:tblCellMar>
          <w:top w:w="0" w:type="dxa"/>
          <w:left w:w="108" w:type="dxa"/>
          <w:bottom w:w="0" w:type="dxa"/>
          <w:right w:w="108" w:type="dxa"/>
        </w:tblCellMar>
      </w:tblPr>
      <w:tblGrid>
        <w:gridCol w:w="981"/>
        <w:gridCol w:w="1587"/>
        <w:gridCol w:w="703"/>
        <w:gridCol w:w="672"/>
        <w:gridCol w:w="850"/>
        <w:gridCol w:w="1179"/>
        <w:gridCol w:w="1179"/>
        <w:gridCol w:w="1179"/>
      </w:tblGrid>
      <w:tr>
        <w:tblPrEx>
          <w:tblLayout w:type="fixed"/>
          <w:tblCellMar>
            <w:top w:w="0" w:type="dxa"/>
            <w:left w:w="108" w:type="dxa"/>
            <w:bottom w:w="0" w:type="dxa"/>
            <w:right w:w="108" w:type="dxa"/>
          </w:tblCellMar>
        </w:tblPrEx>
        <w:trPr>
          <w:trHeight w:val="795" w:hRule="atLeast"/>
        </w:trPr>
        <w:tc>
          <w:tcPr>
            <w:tcW w:w="833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36"/>
                <w:szCs w:val="36"/>
              </w:rPr>
            </w:pPr>
            <w:r>
              <w:rPr>
                <w:rFonts w:hint="eastAsia" w:ascii="微软雅黑" w:hAnsi="微软雅黑" w:eastAsia="微软雅黑" w:cs="微软雅黑"/>
                <w:i w:val="0"/>
                <w:color w:val="000000"/>
                <w:kern w:val="0"/>
                <w:sz w:val="36"/>
                <w:szCs w:val="36"/>
                <w:u w:val="none"/>
                <w:lang w:val="en-US" w:eastAsia="zh-CN" w:bidi="ar"/>
              </w:rPr>
              <w:t>202</w:t>
            </w:r>
            <w:r>
              <w:rPr>
                <w:rStyle w:val="16"/>
                <w:lang w:val="en-US" w:eastAsia="zh-CN" w:bidi="ar"/>
              </w:rPr>
              <w:t>3年部门（单位）整体绩效目标自评表</w:t>
            </w:r>
          </w:p>
        </w:tc>
      </w:tr>
      <w:tr>
        <w:tblPrEx>
          <w:tblLayout w:type="fixed"/>
          <w:tblCellMar>
            <w:top w:w="0" w:type="dxa"/>
            <w:left w:w="108" w:type="dxa"/>
            <w:bottom w:w="0" w:type="dxa"/>
            <w:right w:w="108" w:type="dxa"/>
          </w:tblCellMar>
        </w:tblPrEx>
        <w:trPr>
          <w:trHeight w:val="885"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部门（单位）名称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忠县兴峰乡综合行政执法大队</w:t>
            </w:r>
          </w:p>
        </w:tc>
        <w:tc>
          <w:tcPr>
            <w:tcW w:w="13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预算支出总量（万元）</w:t>
            </w:r>
          </w:p>
        </w:tc>
        <w:tc>
          <w:tcPr>
            <w:tcW w:w="20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103.69</w:t>
            </w: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实际支出总量（万元）</w:t>
            </w: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103.69</w:t>
            </w:r>
          </w:p>
        </w:tc>
      </w:tr>
      <w:tr>
        <w:tblPrEx>
          <w:tblLayout w:type="fixed"/>
          <w:tblCellMar>
            <w:top w:w="0" w:type="dxa"/>
            <w:left w:w="108" w:type="dxa"/>
            <w:bottom w:w="0" w:type="dxa"/>
            <w:right w:w="108" w:type="dxa"/>
          </w:tblCellMar>
        </w:tblPrEx>
        <w:trPr>
          <w:trHeight w:val="885" w:hRule="atLeast"/>
        </w:trPr>
        <w:tc>
          <w:tcPr>
            <w:tcW w:w="981" w:type="dxa"/>
            <w:tcBorders>
              <w:top w:val="nil"/>
              <w:left w:val="single" w:color="auto" w:sz="4" w:space="0"/>
              <w:bottom w:val="nil"/>
              <w:right w:val="nil"/>
            </w:tcBorders>
            <w:shd w:val="clear" w:color="auto" w:fill="auto"/>
            <w:vAlign w:val="center"/>
          </w:tcPr>
          <w:p>
            <w:pPr>
              <w:jc w:val="center"/>
              <w:rPr>
                <w:rFonts w:hint="eastAsia" w:ascii="仿宋" w:hAnsi="仿宋" w:eastAsia="仿宋" w:cs="仿宋"/>
                <w:color w:val="000000"/>
                <w:kern w:val="0"/>
                <w:sz w:val="22"/>
                <w:szCs w:val="22"/>
              </w:rPr>
            </w:pPr>
          </w:p>
        </w:tc>
        <w:tc>
          <w:tcPr>
            <w:tcW w:w="3812" w:type="dxa"/>
            <w:gridSpan w:val="4"/>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年初设定目标</w:t>
            </w:r>
          </w:p>
        </w:tc>
        <w:tc>
          <w:tcPr>
            <w:tcW w:w="353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全年实际完成情况</w:t>
            </w:r>
          </w:p>
        </w:tc>
      </w:tr>
      <w:tr>
        <w:tblPrEx>
          <w:tblLayout w:type="fixed"/>
          <w:tblCellMar>
            <w:top w:w="0" w:type="dxa"/>
            <w:left w:w="108" w:type="dxa"/>
            <w:bottom w:w="0" w:type="dxa"/>
            <w:right w:w="108" w:type="dxa"/>
          </w:tblCellMar>
        </w:tblPrEx>
        <w:trPr>
          <w:trHeight w:val="285" w:hRule="atLeast"/>
        </w:trPr>
        <w:tc>
          <w:tcPr>
            <w:tcW w:w="981" w:type="dxa"/>
            <w:vMerge w:val="restart"/>
            <w:tcBorders>
              <w:top w:val="single" w:color="auto" w:sz="4" w:space="0"/>
              <w:left w:val="single" w:color="auto"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当年整体绩效目标</w:t>
            </w:r>
          </w:p>
        </w:tc>
        <w:tc>
          <w:tcPr>
            <w:tcW w:w="3812" w:type="dxa"/>
            <w:gridSpan w:val="4"/>
            <w:vMerge w:val="restart"/>
            <w:tcBorders>
              <w:top w:val="nil"/>
              <w:left w:val="single" w:color="auto"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卫生督查与执法覆盖率达90%；消防日常安全检查与执法覆盖率达90%；规划建设执法覆盖率达100%；农业日常巡查与行政执法覆盖率达60%；林业日常巡查与行政执法覆盖率达65%。</w:t>
            </w:r>
          </w:p>
        </w:tc>
        <w:tc>
          <w:tcPr>
            <w:tcW w:w="3537" w:type="dxa"/>
            <w:gridSpan w:val="3"/>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我单位2023年绩效目标完成情况：卫生督查与执法覆盖率达90%；消防日常安全检查与执法覆盖率达95%；规划建设执法覆盖率达100%；农业日常巡查与行政执法覆盖率达70%；林业日常巡查与行政执法覆盖率达70%。</w:t>
            </w: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shd w:val="clear" w:color="auto" w:fill="auto"/>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shd w:val="clear" w:color="auto" w:fill="auto"/>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510" w:hRule="atLeast"/>
        </w:trPr>
        <w:tc>
          <w:tcPr>
            <w:tcW w:w="981"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812" w:type="dxa"/>
            <w:gridSpan w:val="4"/>
            <w:vMerge w:val="continue"/>
            <w:tcBorders>
              <w:top w:val="nil"/>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3537" w:type="dxa"/>
            <w:gridSpan w:val="3"/>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600" w:hRule="atLeast"/>
        </w:trPr>
        <w:tc>
          <w:tcPr>
            <w:tcW w:w="98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绩效指标</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指标</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指标权重</w:t>
            </w:r>
          </w:p>
        </w:tc>
        <w:tc>
          <w:tcPr>
            <w:tcW w:w="6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计量单位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指标性质</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指标值</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实际完成指标值</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color w:val="000000"/>
                <w:kern w:val="0"/>
                <w:sz w:val="22"/>
                <w:szCs w:val="22"/>
                <w:u w:val="none"/>
                <w:lang w:val="en-US" w:eastAsia="zh-CN" w:bidi="ar"/>
              </w:rPr>
              <w:t>未完成原因和改进措施</w:t>
            </w:r>
          </w:p>
        </w:tc>
      </w:tr>
      <w:tr>
        <w:tblPrEx>
          <w:tblLayout w:type="fixed"/>
          <w:tblCellMar>
            <w:top w:w="0" w:type="dxa"/>
            <w:left w:w="108" w:type="dxa"/>
            <w:bottom w:w="0" w:type="dxa"/>
            <w:right w:w="108" w:type="dxa"/>
          </w:tblCellMar>
        </w:tblPrEx>
        <w:trPr>
          <w:trHeight w:val="735" w:hRule="atLeast"/>
        </w:trPr>
        <w:tc>
          <w:tcPr>
            <w:tcW w:w="981"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0"/>
                <w:szCs w:val="20"/>
              </w:rPr>
            </w:pP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kern w:val="0"/>
                <w:sz w:val="16"/>
                <w:szCs w:val="16"/>
              </w:rPr>
            </w:pPr>
            <w:r>
              <w:rPr>
                <w:rFonts w:hint="eastAsia" w:ascii="宋体" w:hAnsi="宋体" w:eastAsia="宋体" w:cs="宋体"/>
                <w:i w:val="0"/>
                <w:color w:val="000000"/>
                <w:kern w:val="0"/>
                <w:sz w:val="20"/>
                <w:szCs w:val="20"/>
                <w:u w:val="none"/>
                <w:lang w:val="en-US" w:eastAsia="zh-CN" w:bidi="ar"/>
              </w:rPr>
              <w:t>卫生督查与执法覆盖率</w:t>
            </w:r>
          </w:p>
        </w:tc>
        <w:tc>
          <w:tcPr>
            <w:tcW w:w="7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6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90</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宋体" w:hAnsi="宋体" w:eastAsia="宋体" w:cs="宋体"/>
                <w:i w:val="0"/>
                <w:color w:val="000000"/>
                <w:kern w:val="0"/>
                <w:sz w:val="24"/>
                <w:szCs w:val="24"/>
                <w:u w:val="none"/>
                <w:lang w:val="en-US" w:eastAsia="zh-CN" w:bidi="ar"/>
              </w:rPr>
              <w:t>90</w:t>
            </w:r>
          </w:p>
        </w:tc>
        <w:tc>
          <w:tcPr>
            <w:tcW w:w="1179" w:type="dxa"/>
            <w:tcBorders>
              <w:top w:val="nil"/>
              <w:left w:val="nil"/>
              <w:bottom w:val="single" w:color="auto" w:sz="4" w:space="0"/>
              <w:right w:val="single" w:color="auto" w:sz="4" w:space="0"/>
            </w:tcBorders>
            <w:shd w:val="clear" w:color="auto" w:fill="auto"/>
            <w:vAlign w:val="center"/>
          </w:tcPr>
          <w:p/>
        </w:tc>
      </w:tr>
      <w:tr>
        <w:tblPrEx>
          <w:tblLayout w:type="fixed"/>
          <w:tblCellMar>
            <w:top w:w="0" w:type="dxa"/>
            <w:left w:w="108" w:type="dxa"/>
            <w:bottom w:w="0" w:type="dxa"/>
            <w:right w:w="108" w:type="dxa"/>
          </w:tblCellMar>
        </w:tblPrEx>
        <w:trPr>
          <w:trHeight w:val="735" w:hRule="atLeast"/>
        </w:trPr>
        <w:tc>
          <w:tcPr>
            <w:tcW w:w="981"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0"/>
                <w:szCs w:val="20"/>
              </w:rPr>
            </w:pP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kern w:val="0"/>
                <w:sz w:val="16"/>
                <w:szCs w:val="16"/>
              </w:rPr>
            </w:pPr>
            <w:r>
              <w:rPr>
                <w:rFonts w:hint="eastAsia" w:ascii="宋体" w:hAnsi="宋体" w:eastAsia="宋体" w:cs="宋体"/>
                <w:i w:val="0"/>
                <w:color w:val="000000"/>
                <w:kern w:val="0"/>
                <w:sz w:val="20"/>
                <w:szCs w:val="20"/>
                <w:u w:val="none"/>
                <w:lang w:val="en-US" w:eastAsia="zh-CN" w:bidi="ar"/>
              </w:rPr>
              <w:t>消防日常安全检查与执法覆盖率</w:t>
            </w:r>
          </w:p>
        </w:tc>
        <w:tc>
          <w:tcPr>
            <w:tcW w:w="7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6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90</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宋体" w:hAnsi="宋体" w:eastAsia="宋体" w:cs="宋体"/>
                <w:i w:val="0"/>
                <w:color w:val="000000"/>
                <w:kern w:val="0"/>
                <w:sz w:val="24"/>
                <w:szCs w:val="24"/>
                <w:u w:val="none"/>
                <w:lang w:val="en-US" w:eastAsia="zh-CN" w:bidi="ar"/>
              </w:rPr>
              <w:t>95</w:t>
            </w:r>
          </w:p>
        </w:tc>
        <w:tc>
          <w:tcPr>
            <w:tcW w:w="1179" w:type="dxa"/>
            <w:tcBorders>
              <w:top w:val="nil"/>
              <w:left w:val="nil"/>
              <w:bottom w:val="single" w:color="auto" w:sz="4" w:space="0"/>
              <w:right w:val="single" w:color="auto" w:sz="4" w:space="0"/>
            </w:tcBorders>
            <w:shd w:val="clear" w:color="auto" w:fill="auto"/>
            <w:vAlign w:val="center"/>
          </w:tcPr>
          <w:p/>
        </w:tc>
      </w:tr>
      <w:tr>
        <w:tblPrEx>
          <w:shd w:val="clear" w:color="auto" w:fill="auto"/>
          <w:tblLayout w:type="fixed"/>
          <w:tblCellMar>
            <w:top w:w="0" w:type="dxa"/>
            <w:left w:w="108" w:type="dxa"/>
            <w:bottom w:w="0" w:type="dxa"/>
            <w:right w:w="108" w:type="dxa"/>
          </w:tblCellMar>
        </w:tblPrEx>
        <w:trPr>
          <w:trHeight w:val="735" w:hRule="atLeast"/>
        </w:trPr>
        <w:tc>
          <w:tcPr>
            <w:tcW w:w="981"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0"/>
                <w:szCs w:val="20"/>
              </w:rPr>
            </w:pP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kern w:val="0"/>
                <w:sz w:val="16"/>
                <w:szCs w:val="16"/>
              </w:rPr>
            </w:pPr>
            <w:r>
              <w:rPr>
                <w:rFonts w:hint="eastAsia" w:ascii="宋体" w:hAnsi="宋体" w:eastAsia="宋体" w:cs="宋体"/>
                <w:i w:val="0"/>
                <w:color w:val="000000"/>
                <w:kern w:val="0"/>
                <w:sz w:val="20"/>
                <w:szCs w:val="20"/>
                <w:u w:val="none"/>
                <w:lang w:val="en-US" w:eastAsia="zh-CN" w:bidi="ar"/>
              </w:rPr>
              <w:t>规划建设执法覆盖率</w:t>
            </w:r>
          </w:p>
        </w:tc>
        <w:tc>
          <w:tcPr>
            <w:tcW w:w="7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6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100</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宋体" w:hAnsi="宋体" w:eastAsia="宋体" w:cs="宋体"/>
                <w:i w:val="0"/>
                <w:color w:val="000000"/>
                <w:kern w:val="0"/>
                <w:sz w:val="24"/>
                <w:szCs w:val="24"/>
                <w:u w:val="none"/>
                <w:lang w:val="en-US" w:eastAsia="zh-CN" w:bidi="ar"/>
              </w:rPr>
              <w:t>100</w:t>
            </w:r>
          </w:p>
        </w:tc>
        <w:tc>
          <w:tcPr>
            <w:tcW w:w="1179" w:type="dxa"/>
            <w:tcBorders>
              <w:top w:val="nil"/>
              <w:left w:val="nil"/>
              <w:bottom w:val="single" w:color="auto" w:sz="4" w:space="0"/>
              <w:right w:val="single" w:color="auto" w:sz="4" w:space="0"/>
            </w:tcBorders>
            <w:shd w:val="clear" w:color="auto" w:fill="auto"/>
            <w:vAlign w:val="center"/>
          </w:tcPr>
          <w:p/>
        </w:tc>
      </w:tr>
      <w:tr>
        <w:tblPrEx>
          <w:tblLayout w:type="fixed"/>
          <w:tblCellMar>
            <w:top w:w="0" w:type="dxa"/>
            <w:left w:w="108" w:type="dxa"/>
            <w:bottom w:w="0" w:type="dxa"/>
            <w:right w:w="108" w:type="dxa"/>
          </w:tblCellMar>
        </w:tblPrEx>
        <w:trPr>
          <w:trHeight w:val="735" w:hRule="atLeast"/>
        </w:trPr>
        <w:tc>
          <w:tcPr>
            <w:tcW w:w="981"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0"/>
                <w:szCs w:val="20"/>
              </w:rPr>
            </w:pP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kern w:val="0"/>
                <w:sz w:val="16"/>
                <w:szCs w:val="16"/>
              </w:rPr>
            </w:pPr>
            <w:r>
              <w:rPr>
                <w:rFonts w:hint="eastAsia" w:ascii="宋体" w:hAnsi="宋体" w:eastAsia="宋体" w:cs="宋体"/>
                <w:i w:val="0"/>
                <w:color w:val="000000"/>
                <w:kern w:val="0"/>
                <w:sz w:val="20"/>
                <w:szCs w:val="20"/>
                <w:u w:val="none"/>
                <w:lang w:val="en-US" w:eastAsia="zh-CN" w:bidi="ar"/>
              </w:rPr>
              <w:t>农业日常巡查与行政执法覆盖率</w:t>
            </w:r>
          </w:p>
        </w:tc>
        <w:tc>
          <w:tcPr>
            <w:tcW w:w="7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6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60</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宋体" w:hAnsi="宋体" w:eastAsia="宋体" w:cs="宋体"/>
                <w:i w:val="0"/>
                <w:color w:val="000000"/>
                <w:kern w:val="0"/>
                <w:sz w:val="24"/>
                <w:szCs w:val="24"/>
                <w:u w:val="none"/>
                <w:lang w:val="en-US" w:eastAsia="zh-CN" w:bidi="ar"/>
              </w:rPr>
              <w:t>70</w:t>
            </w:r>
          </w:p>
        </w:tc>
        <w:tc>
          <w:tcPr>
            <w:tcW w:w="1179" w:type="dxa"/>
            <w:tcBorders>
              <w:top w:val="nil"/>
              <w:left w:val="nil"/>
              <w:bottom w:val="single" w:color="auto" w:sz="4" w:space="0"/>
              <w:right w:val="single" w:color="auto" w:sz="4" w:space="0"/>
            </w:tcBorders>
            <w:shd w:val="clear" w:color="auto" w:fill="auto"/>
            <w:vAlign w:val="center"/>
          </w:tcPr>
          <w:p/>
        </w:tc>
      </w:tr>
      <w:tr>
        <w:tblPrEx>
          <w:tblLayout w:type="fixed"/>
          <w:tblCellMar>
            <w:top w:w="0" w:type="dxa"/>
            <w:left w:w="108" w:type="dxa"/>
            <w:bottom w:w="0" w:type="dxa"/>
            <w:right w:w="108" w:type="dxa"/>
          </w:tblCellMar>
        </w:tblPrEx>
        <w:trPr>
          <w:trHeight w:val="735" w:hRule="atLeast"/>
        </w:trPr>
        <w:tc>
          <w:tcPr>
            <w:tcW w:w="981"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0"/>
                <w:szCs w:val="20"/>
              </w:rPr>
            </w:pP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kern w:val="0"/>
                <w:sz w:val="16"/>
                <w:szCs w:val="16"/>
              </w:rPr>
            </w:pPr>
            <w:r>
              <w:rPr>
                <w:rFonts w:hint="eastAsia" w:ascii="宋体" w:hAnsi="宋体" w:eastAsia="宋体" w:cs="宋体"/>
                <w:i w:val="0"/>
                <w:color w:val="000000"/>
                <w:kern w:val="0"/>
                <w:sz w:val="20"/>
                <w:szCs w:val="20"/>
                <w:u w:val="none"/>
                <w:lang w:val="en-US" w:eastAsia="zh-CN" w:bidi="ar"/>
              </w:rPr>
              <w:t>林业日常巡查与行政执法覆盖率</w:t>
            </w:r>
          </w:p>
        </w:tc>
        <w:tc>
          <w:tcPr>
            <w:tcW w:w="7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6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kern w:val="0"/>
                <w:sz w:val="24"/>
                <w:szCs w:val="24"/>
              </w:rPr>
            </w:pPr>
            <w:r>
              <w:rPr>
                <w:rFonts w:hint="eastAsia" w:ascii="宋体" w:hAnsi="宋体" w:eastAsia="宋体" w:cs="宋体"/>
                <w:i w:val="0"/>
                <w:color w:val="000000"/>
                <w:kern w:val="0"/>
                <w:sz w:val="24"/>
                <w:szCs w:val="24"/>
                <w:u w:val="none"/>
                <w:lang w:val="en-US" w:eastAsia="zh-CN" w:bidi="ar"/>
              </w:rPr>
              <w:t>65</w:t>
            </w:r>
          </w:p>
        </w:tc>
        <w:tc>
          <w:tcPr>
            <w:tcW w:w="11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宋体" w:hAnsi="宋体" w:eastAsia="宋体" w:cs="宋体"/>
                <w:i w:val="0"/>
                <w:color w:val="000000"/>
                <w:kern w:val="0"/>
                <w:sz w:val="24"/>
                <w:szCs w:val="24"/>
                <w:u w:val="none"/>
                <w:lang w:val="en-US" w:eastAsia="zh-CN" w:bidi="ar"/>
              </w:rPr>
              <w:t>70</w:t>
            </w:r>
          </w:p>
        </w:tc>
        <w:tc>
          <w:tcPr>
            <w:tcW w:w="1179" w:type="dxa"/>
            <w:tcBorders>
              <w:top w:val="nil"/>
              <w:left w:val="nil"/>
              <w:bottom w:val="single" w:color="auto" w:sz="4" w:space="0"/>
              <w:right w:val="single" w:color="auto" w:sz="4" w:space="0"/>
            </w:tcBorders>
            <w:shd w:val="clear" w:color="auto" w:fill="auto"/>
            <w:vAlign w:val="center"/>
          </w:tc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shd w:val="clear" w:color="auto" w:fill="FFFFFF"/>
          <w:lang w:val="en-US"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023-54569008</w:t>
      </w:r>
    </w:p>
    <w:p>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重庆市忠县兴峰乡综合行政执法大队</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84.34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重庆市忠县兴峰乡综合行政执法大队</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103.69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103.69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重庆市忠县兴峰乡综合行政执法大队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重庆市忠县兴峰乡综合行政执法大队</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重庆市忠县兴峰乡综合行政执法大队</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93.30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重庆市忠县兴峰乡综合行政执法大队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10.39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10.39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23496"/>
    <w:rsid w:val="37841E99"/>
    <w:rsid w:val="37BF1123"/>
    <w:rsid w:val="383C3F15"/>
    <w:rsid w:val="383D22A3"/>
    <w:rsid w:val="385653B1"/>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026CF"/>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46FF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D95EDD"/>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15E4B"/>
    <w:rsid w:val="72DB435C"/>
    <w:rsid w:val="72E2613A"/>
    <w:rsid w:val="72F771F4"/>
    <w:rsid w:val="73934AD2"/>
    <w:rsid w:val="750837F0"/>
    <w:rsid w:val="754758CF"/>
    <w:rsid w:val="764F62AB"/>
    <w:rsid w:val="765C45EC"/>
    <w:rsid w:val="768A7619"/>
    <w:rsid w:val="772E1EBA"/>
    <w:rsid w:val="781926BC"/>
    <w:rsid w:val="78E074FF"/>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61"/>
    <w:basedOn w:val="9"/>
    <w:qFormat/>
    <w:uiPriority w:val="0"/>
    <w:rPr>
      <w:rFonts w:hint="eastAsia" w:ascii="微软雅黑" w:hAnsi="微软雅黑" w:eastAsia="微软雅黑" w:cs="微软雅黑"/>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2024-10-21T09:18:14Z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BB46EABDBB2749749395447164B066B3_12</vt:lpwstr>
  </property>
</Properties>
</file>