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rPr>
        <w:t>重庆市忠县兴峰乡人民政府（本级）</w:t>
      </w:r>
      <w:r>
        <w:rPr>
          <w:rFonts w:hint="default" w:ascii="Times New Roman" w:hAnsi="Times New Roman" w:eastAsia="方正小标宋_GBK" w:cs="Times New Roman"/>
          <w:sz w:val="36"/>
          <w:szCs w:val="36"/>
          <w:shd w:val="clear" w:color="auto" w:fill="FFFFFF"/>
        </w:rPr>
        <w:t>2023年度决算公开说明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2" w:firstLineChars="200"/>
        <w:textAlignment w:val="auto"/>
        <w:rPr>
          <w:rFonts w:hint="default" w:ascii="Times New Roman" w:hAnsi="Times New Roman" w:eastAsia="黑体" w:cs="Times New Roman"/>
          <w:sz w:val="32"/>
          <w:szCs w:val="32"/>
        </w:rPr>
      </w:pPr>
      <w:r>
        <w:rPr>
          <w:rStyle w:val="10"/>
          <w:rFonts w:hint="default" w:ascii="Times New Roman" w:hAnsi="Times New Roman" w:eastAsia="黑体" w:cs="Times New Roman"/>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（一）职能职责</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shd w:val="clear" w:color="auto" w:fill="FFFFFF"/>
        </w:rPr>
        <w:t>1.执行本级人民代表大会的决议和上级国家机关的决议和命令，发布决定和命令。2.执行本乡的经济和社会发展规划、预算，管理本乡的经济、教育、科学、文化、卫生、体育事业和财政、社会事务、公安、司法行政、计划生育、安全生产、农村集体资产管理等行政工作。3.推动产业结构调整，转变农业发展方式，优化发展环境，大力发展休闲旅游业、现代农业和现代服务业，着力构建绿色高端高效经济体系。4.关注和改善民生，加快社会事业发展，推动公共服务均等化。全面落实支农惠农政策，增加农民收入。5.加强生态建设和保护，加大环境整治，完善和落实护水、护河、护山、护林、护地、护环境的“六护”机制。6.保护合法财产，维护社会秩序，保障公民的人身权利、民主权利和其他权利。7.保护各种经济组织的合法权益。8.保障宪法和法律赋予妇女的男女平等、同工同酬和婚姻自由等各项权利。9不断强化社会维稳体系，加强农村社会治安综合治理，防范和化解农村社会矛盾，确保社会稳定。10.完成上级交办的其他事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default" w:ascii="Times New Roman" w:hAnsi="Times New Roman" w:eastAsia="楷体" w:cs="Times New Roman"/>
          <w:sz w:val="32"/>
          <w:szCs w:val="32"/>
        </w:rPr>
      </w:pPr>
      <w:r>
        <w:rPr>
          <w:rStyle w:val="10"/>
          <w:rFonts w:hint="default" w:ascii="Times New Roman" w:hAnsi="Times New Roman" w:eastAsia="楷体" w:cs="Times New Roman"/>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忠县兴峰乡人民政府政府内设党政办公室、经济发展办公室、社会事务办公室、规划建设环保管理办公室、平安建设办公室、应急办公室、财政办公室。其他事业单位设置1个综合办公室。下辖5个事业单位：忠县兴峰乡综合行政执法大队、忠县兴峰乡文化服务中心、忠县兴峰乡劳动就业和社会保障服务所、忠县兴峰乡农业服务中心、忠县兴峰乡退役军人服务站。</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2"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二、单位决算情况说明</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2" w:firstLineChars="200"/>
        <w:textAlignment w:val="auto"/>
        <w:rPr>
          <w:rFonts w:hint="default" w:ascii="Times New Roman" w:hAnsi="Times New Roman" w:eastAsia="方正仿宋_GBK" w:cs="Times New Roman"/>
          <w:sz w:val="32"/>
          <w:szCs w:val="32"/>
          <w:lang w:val="en-US" w:eastAsia="zh-CN"/>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2023年度收入总计1255.68万元，支出总计</w:t>
      </w:r>
      <w:r>
        <w:rPr>
          <w:rFonts w:hint="default" w:ascii="Times New Roman" w:hAnsi="Times New Roman" w:eastAsia="方正仿宋_GBK" w:cs="Times New Roman"/>
          <w:sz w:val="32"/>
          <w:szCs w:val="32"/>
        </w:rPr>
        <w:t>1255.68</w:t>
      </w:r>
      <w:r>
        <w:rPr>
          <w:rFonts w:hint="default" w:ascii="Times New Roman" w:hAnsi="Times New Roman" w:eastAsia="方正仿宋_GBK" w:cs="Times New Roman"/>
          <w:sz w:val="32"/>
          <w:szCs w:val="32"/>
          <w:shd w:val="clear" w:color="auto" w:fill="FFFFFF"/>
        </w:rPr>
        <w:t>万元。收支较上年决算数减少67.86万元，下降5.13%，主要原因是</w:t>
      </w:r>
      <w:r>
        <w:rPr>
          <w:rFonts w:hint="default" w:ascii="Times New Roman" w:hAnsi="Times New Roman" w:eastAsia="方正仿宋_GBK" w:cs="Times New Roman"/>
          <w:color w:val="auto"/>
          <w:sz w:val="32"/>
          <w:szCs w:val="32"/>
          <w:shd w:val="clear" w:color="auto" w:fill="FFFFFF"/>
          <w:lang w:val="en-US" w:eastAsia="zh-CN"/>
        </w:rPr>
        <w:t>2023年度财政拨付的专款减少，导致本年度财政拨款收入支出较上年度减少。</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2023年度收入合计1255.68万元，较上年决算数减少67.86万元，下降5.13%，主要原因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val="en-US" w:eastAsia="zh-CN"/>
        </w:rPr>
        <w:t>2023年本单位专款收入减少，导致年度收入较上年度减少。</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1255.68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1255.68</w:t>
      </w:r>
      <w:r>
        <w:rPr>
          <w:rFonts w:hint="default" w:ascii="Times New Roman" w:hAnsi="Times New Roman" w:eastAsia="方正仿宋_GBK" w:cs="Times New Roman"/>
          <w:sz w:val="32"/>
          <w:szCs w:val="32"/>
          <w:shd w:val="clear" w:color="auto" w:fill="FFFFFF"/>
        </w:rPr>
        <w:t>万元，较上年决算数减少67.86万元，下降5.13%，主要原因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val="en-US" w:eastAsia="zh-CN"/>
        </w:rPr>
        <w:t>2023年度本单位专款支出减少。</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602.69</w:t>
      </w:r>
      <w:r>
        <w:rPr>
          <w:rFonts w:hint="default" w:ascii="Times New Roman" w:hAnsi="Times New Roman" w:eastAsia="方正仿宋_GBK" w:cs="Times New Roman"/>
          <w:sz w:val="32"/>
          <w:szCs w:val="32"/>
          <w:shd w:val="clear" w:color="auto" w:fill="FFFFFF"/>
        </w:rPr>
        <w:t>万元，占48.00%；项目支出</w:t>
      </w:r>
      <w:r>
        <w:rPr>
          <w:rFonts w:hint="default" w:ascii="Times New Roman" w:hAnsi="Times New Roman" w:eastAsia="方正仿宋_GBK" w:cs="Times New Roman"/>
          <w:sz w:val="32"/>
          <w:szCs w:val="32"/>
        </w:rPr>
        <w:t>652.99</w:t>
      </w:r>
      <w:r>
        <w:rPr>
          <w:rFonts w:hint="default" w:ascii="Times New Roman" w:hAnsi="Times New Roman" w:eastAsia="方正仿宋_GBK" w:cs="Times New Roman"/>
          <w:sz w:val="32"/>
          <w:szCs w:val="32"/>
          <w:shd w:val="clear" w:color="auto" w:fill="FFFFFF"/>
        </w:rPr>
        <w:t>万元，占52.00%；经营支出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color w:val="auto"/>
          <w:sz w:val="32"/>
          <w:szCs w:val="32"/>
          <w:lang w:val="en-US" w:eastAsia="zh-CN"/>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val="en-US" w:eastAsia="zh-CN"/>
        </w:rPr>
        <w:t>2023年本单位严格执行预算，收支平衡，无结转和结余。</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shd w:val="clear" w:color="auto" w:fill="FFFFFF"/>
        </w:rPr>
        <w:t>2023年度财政拨款收、支总计1255.68万元。与2022年相比，财政拨款收、支总计各减少67.86万元，下降5.13%。主要原因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val="en-US" w:eastAsia="zh-CN"/>
        </w:rPr>
        <w:t>2023年度本单位专款使用减少，导致财政拨款收入支出减少。</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1255.68</w:t>
      </w:r>
      <w:r>
        <w:rPr>
          <w:rFonts w:hint="default" w:ascii="Times New Roman" w:hAnsi="Times New Roman" w:eastAsia="方正仿宋_GBK" w:cs="Times New Roman"/>
          <w:sz w:val="32"/>
          <w:szCs w:val="32"/>
          <w:shd w:val="clear" w:color="auto" w:fill="FFFFFF"/>
        </w:rPr>
        <w:t>万元，较上年决算数减少49.40万元，下降3.79%。主要原因是</w:t>
      </w:r>
      <w:r>
        <w:rPr>
          <w:rFonts w:hint="default" w:ascii="Times New Roman" w:hAnsi="Times New Roman" w:eastAsia="方正仿宋_GBK" w:cs="Times New Roman"/>
          <w:sz w:val="32"/>
          <w:szCs w:val="32"/>
          <w:shd w:val="clear" w:color="auto" w:fill="FFFFFF"/>
          <w:lang w:val="en-US" w:eastAsia="zh-CN"/>
        </w:rPr>
        <w:t>2023年度本单位专款收入减少。</w:t>
      </w:r>
      <w:r>
        <w:rPr>
          <w:rFonts w:hint="default" w:ascii="Times New Roman" w:hAnsi="Times New Roman" w:eastAsia="方正仿宋_GBK" w:cs="Times New Roman"/>
          <w:sz w:val="32"/>
          <w:szCs w:val="32"/>
          <w:shd w:val="clear" w:color="auto" w:fill="FFFFFF"/>
        </w:rPr>
        <w:t>较年初预算数增加293.74万元，增长30.54%。主要原因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val="en-US" w:eastAsia="zh-CN"/>
        </w:rPr>
        <w:t>年中新进人员及在职人员工资调标等相应增加人员经费收入。</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color w:val="auto"/>
          <w:sz w:val="32"/>
          <w:szCs w:val="32"/>
          <w:lang w:val="en-US" w:eastAsia="zh-CN"/>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1255.68</w:t>
      </w:r>
      <w:r>
        <w:rPr>
          <w:rFonts w:hint="default" w:ascii="Times New Roman" w:hAnsi="Times New Roman" w:eastAsia="方正仿宋_GBK" w:cs="Times New Roman"/>
          <w:sz w:val="32"/>
          <w:szCs w:val="32"/>
          <w:shd w:val="clear" w:color="auto" w:fill="FFFFFF"/>
        </w:rPr>
        <w:t>万元，较上年决算数减少49.40万元，下降3.79%。主要原因是</w:t>
      </w:r>
      <w:r>
        <w:rPr>
          <w:rFonts w:hint="default" w:ascii="Times New Roman" w:hAnsi="Times New Roman" w:eastAsia="方正仿宋_GBK" w:cs="Times New Roman"/>
          <w:color w:val="auto"/>
          <w:sz w:val="32"/>
          <w:szCs w:val="32"/>
          <w:shd w:val="clear" w:color="auto" w:fill="FFFFFF"/>
          <w:lang w:val="en-US" w:eastAsia="zh-CN"/>
        </w:rPr>
        <w:t>2023年度本单位专款支出减少。</w:t>
      </w:r>
      <w:r>
        <w:rPr>
          <w:rFonts w:hint="default" w:ascii="Times New Roman" w:hAnsi="Times New Roman" w:eastAsia="方正仿宋_GBK" w:cs="Times New Roman"/>
          <w:color w:val="auto"/>
          <w:sz w:val="32"/>
          <w:szCs w:val="32"/>
          <w:shd w:val="clear" w:color="auto" w:fill="FFFFFF"/>
        </w:rPr>
        <w:t>较年初预算数增加293.74万元，增长30.54%。主要原因是</w:t>
      </w:r>
      <w:r>
        <w:rPr>
          <w:rFonts w:hint="default" w:ascii="Times New Roman" w:hAnsi="Times New Roman" w:eastAsia="方正仿宋_GBK" w:cs="Times New Roman"/>
          <w:color w:val="auto"/>
          <w:sz w:val="32"/>
          <w:szCs w:val="32"/>
          <w:shd w:val="clear" w:color="auto" w:fill="FFFFFF"/>
          <w:lang w:val="en-US" w:eastAsia="zh-CN"/>
        </w:rPr>
        <w:t>年中新进人员及在职人员工资调标等导致人员经费增加。</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color w:val="auto"/>
          <w:sz w:val="32"/>
          <w:szCs w:val="32"/>
          <w:lang w:val="en-US" w:eastAsia="zh-CN"/>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val="en-US" w:eastAsia="zh-CN"/>
        </w:rPr>
        <w:t>2023年本单位严格执行预算，收支平衡，无结转和结余。</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495.00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39.42</w:t>
      </w:r>
      <w:r>
        <w:rPr>
          <w:rFonts w:hint="default" w:ascii="Times New Roman" w:hAnsi="Times New Roman" w:eastAsia="方正仿宋_GBK" w:cs="Times New Roman"/>
          <w:sz w:val="32"/>
          <w:szCs w:val="32"/>
          <w:shd w:val="clear" w:color="auto" w:fill="FFFFFF"/>
        </w:rPr>
        <w:t>%，较年初预算数增加84.51万元，增长20.59%，主要原因是</w:t>
      </w:r>
      <w:r>
        <w:rPr>
          <w:rFonts w:hint="default" w:ascii="Times New Roman" w:hAnsi="Times New Roman" w:eastAsia="方正仿宋_GBK" w:cs="Times New Roman"/>
          <w:color w:val="auto"/>
          <w:sz w:val="32"/>
          <w:szCs w:val="32"/>
          <w:shd w:val="clear" w:color="auto" w:fill="FFFFFF"/>
        </w:rPr>
        <w:t>新进人员及在职职工工资调标导致人员经费增加，相应增加一般公共服务支出。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）教育支出</w:t>
      </w:r>
      <w:r>
        <w:rPr>
          <w:rFonts w:hint="default" w:ascii="Times New Roman" w:hAnsi="Times New Roman" w:eastAsia="方正仿宋_GBK" w:cs="Times New Roman"/>
          <w:sz w:val="32"/>
          <w:szCs w:val="32"/>
        </w:rPr>
        <w:t>1.40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0.11</w:t>
      </w:r>
      <w:r>
        <w:rPr>
          <w:rFonts w:hint="default" w:ascii="Times New Roman" w:hAnsi="Times New Roman" w:eastAsia="方正仿宋_GBK" w:cs="Times New Roman"/>
          <w:sz w:val="32"/>
          <w:szCs w:val="32"/>
          <w:shd w:val="clear" w:color="auto" w:fill="FFFFFF"/>
        </w:rPr>
        <w:t>%，较年初预算数减少0.17万元，下降10.83%，主要原因是</w:t>
      </w:r>
      <w:r>
        <w:rPr>
          <w:rFonts w:hint="default" w:ascii="Times New Roman" w:hAnsi="Times New Roman" w:eastAsia="方正仿宋_GBK" w:cs="Times New Roman"/>
          <w:color w:val="auto"/>
          <w:sz w:val="32"/>
          <w:szCs w:val="32"/>
          <w:shd w:val="clear" w:color="auto" w:fill="FFFFFF"/>
          <w:lang w:val="en-US" w:eastAsia="zh-CN"/>
        </w:rPr>
        <w:t>2023年本单位培训人数及培训次数减少。</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317.08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25.25</w:t>
      </w:r>
      <w:r>
        <w:rPr>
          <w:rFonts w:hint="default" w:ascii="Times New Roman" w:hAnsi="Times New Roman" w:eastAsia="方正仿宋_GBK" w:cs="Times New Roman"/>
          <w:sz w:val="32"/>
          <w:szCs w:val="32"/>
          <w:shd w:val="clear" w:color="auto" w:fill="FFFFFF"/>
        </w:rPr>
        <w:t>%，较年初预算数增加9.30万元，增长3.02%，主要原因是</w:t>
      </w:r>
      <w:r>
        <w:rPr>
          <w:rFonts w:hint="default" w:ascii="Times New Roman" w:hAnsi="Times New Roman" w:eastAsia="方正仿宋_GBK" w:cs="Times New Roman"/>
          <w:color w:val="auto"/>
          <w:sz w:val="32"/>
          <w:szCs w:val="32"/>
          <w:shd w:val="clear" w:color="auto" w:fill="FFFFFF"/>
          <w:lang w:val="en-US" w:eastAsia="zh-CN"/>
        </w:rPr>
        <w:t>2023年本单位养老保险等参保人数增加、在职人员参保基数调整等导致费用支出增加。</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21.36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1.70</w:t>
      </w:r>
      <w:r>
        <w:rPr>
          <w:rFonts w:hint="default" w:ascii="Times New Roman" w:hAnsi="Times New Roman" w:eastAsia="方正仿宋_GBK" w:cs="Times New Roman"/>
          <w:sz w:val="32"/>
          <w:szCs w:val="32"/>
          <w:shd w:val="clear" w:color="auto" w:fill="FFFFFF"/>
        </w:rPr>
        <w:t>%，较年初预算数减少2.03万元，下降8.68%，主要原因是</w:t>
      </w:r>
      <w:r>
        <w:rPr>
          <w:rFonts w:hint="default" w:ascii="Times New Roman" w:hAnsi="Times New Roman" w:eastAsia="方正仿宋_GBK" w:cs="Times New Roman"/>
          <w:color w:val="auto"/>
          <w:sz w:val="32"/>
          <w:szCs w:val="32"/>
          <w:shd w:val="clear" w:color="auto" w:fill="FFFFFF"/>
          <w:lang w:val="en-US" w:eastAsia="zh-CN"/>
        </w:rPr>
        <w:t>退休职工使得全年医保缴费人数较年初减少。</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）节能环保支出</w:t>
      </w:r>
      <w:r>
        <w:rPr>
          <w:rFonts w:hint="default" w:ascii="Times New Roman" w:hAnsi="Times New Roman" w:eastAsia="方正仿宋_GBK" w:cs="Times New Roman"/>
          <w:sz w:val="32"/>
          <w:szCs w:val="32"/>
        </w:rPr>
        <w:t>86.67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6.90</w:t>
      </w:r>
      <w:r>
        <w:rPr>
          <w:rFonts w:hint="default" w:ascii="Times New Roman" w:hAnsi="Times New Roman" w:eastAsia="方正仿宋_GBK" w:cs="Times New Roman"/>
          <w:sz w:val="32"/>
          <w:szCs w:val="32"/>
          <w:shd w:val="clear" w:color="auto" w:fill="FFFFFF"/>
        </w:rPr>
        <w:t>%，较年初预算数增加86.67万元，增长100.00%，主要原因是</w:t>
      </w:r>
      <w:r>
        <w:rPr>
          <w:rFonts w:hint="default" w:ascii="Times New Roman" w:hAnsi="Times New Roman" w:eastAsia="方正仿宋_GBK" w:cs="Times New Roman"/>
          <w:color w:val="auto"/>
          <w:sz w:val="32"/>
          <w:szCs w:val="32"/>
          <w:shd w:val="clear" w:color="auto" w:fill="FFFFFF"/>
          <w:lang w:val="en-US" w:eastAsia="zh-CN"/>
        </w:rPr>
        <w:t>2023年度黄金河流域兴峰段河流环境整治项目支出导致节能环保费用支出增加。</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FF0000"/>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）农林水支出</w:t>
      </w:r>
      <w:r>
        <w:rPr>
          <w:rFonts w:hint="default" w:ascii="Times New Roman" w:hAnsi="Times New Roman" w:eastAsia="方正仿宋_GBK" w:cs="Times New Roman"/>
          <w:sz w:val="32"/>
          <w:szCs w:val="32"/>
        </w:rPr>
        <w:t>191.76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15.27</w:t>
      </w:r>
      <w:r>
        <w:rPr>
          <w:rFonts w:hint="default" w:ascii="Times New Roman" w:hAnsi="Times New Roman" w:eastAsia="方正仿宋_GBK" w:cs="Times New Roman"/>
          <w:sz w:val="32"/>
          <w:szCs w:val="32"/>
          <w:shd w:val="clear" w:color="auto" w:fill="FFFFFF"/>
        </w:rPr>
        <w:t>%，较年初预算数增加12.27万元，增长6.84%，主要原因是</w:t>
      </w:r>
      <w:r>
        <w:rPr>
          <w:rFonts w:hint="default" w:ascii="Times New Roman" w:hAnsi="Times New Roman" w:eastAsia="方正仿宋_GBK" w:cs="Times New Roman"/>
          <w:color w:val="auto"/>
          <w:sz w:val="32"/>
          <w:szCs w:val="32"/>
          <w:shd w:val="clear" w:color="auto" w:fill="FFFFFF"/>
          <w:lang w:val="en-US" w:eastAsia="zh-CN"/>
        </w:rPr>
        <w:t>2023年财政追加农林水专项资金增加。</w:t>
      </w:r>
    </w:p>
    <w:p>
      <w:pPr>
        <w:ind w:firstLine="640" w:firstLineChars="200"/>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住房保障支出35.52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2.83</w:t>
      </w:r>
      <w:r>
        <w:rPr>
          <w:rFonts w:hint="default" w:ascii="Times New Roman" w:hAnsi="Times New Roman" w:eastAsia="方正仿宋_GBK" w:cs="Times New Roman"/>
          <w:sz w:val="32"/>
          <w:szCs w:val="32"/>
          <w:shd w:val="clear" w:color="auto" w:fill="FFFFFF"/>
        </w:rPr>
        <w:t>%，较年初预算数减少3.70万元，下降9.43%，主要原因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val="en-US" w:eastAsia="zh-CN"/>
        </w:rPr>
        <w:t>2023年度本单位退休职工使得住房公积金缴纳人数减少。</w:t>
      </w:r>
    </w:p>
    <w:p>
      <w:pPr>
        <w:ind w:firstLine="640" w:firstLineChars="200"/>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8</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灾害防治及应急管理支出106.89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8.51</w:t>
      </w:r>
      <w:r>
        <w:rPr>
          <w:rFonts w:hint="default" w:ascii="Times New Roman" w:hAnsi="Times New Roman" w:eastAsia="方正仿宋_GBK" w:cs="Times New Roman"/>
          <w:sz w:val="32"/>
          <w:szCs w:val="32"/>
          <w:shd w:val="clear" w:color="auto" w:fill="FFFFFF"/>
        </w:rPr>
        <w:t>%，较年初预算数增加106.89万元，增长100.00%，主要原因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val="en-US" w:eastAsia="zh-CN"/>
        </w:rPr>
        <w:t>根据当年实际受灾情况，财政追加的救灾专项资金增加。</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shd w:val="clear" w:color="auto" w:fill="FFFFFF"/>
        </w:rPr>
        <w:t> 2023年度一般公共财政拨款基本支出</w:t>
      </w:r>
      <w:r>
        <w:rPr>
          <w:rFonts w:hint="default" w:ascii="Times New Roman" w:hAnsi="Times New Roman" w:eastAsia="方正仿宋_GBK" w:cs="Times New Roman"/>
          <w:color w:val="auto"/>
          <w:sz w:val="32"/>
          <w:szCs w:val="32"/>
        </w:rPr>
        <w:t>602.69</w:t>
      </w:r>
      <w:r>
        <w:rPr>
          <w:rFonts w:hint="default" w:ascii="Times New Roman" w:hAnsi="Times New Roman" w:eastAsia="方正仿宋_GBK" w:cs="Times New Roman"/>
          <w:color w:val="auto"/>
          <w:sz w:val="32"/>
          <w:szCs w:val="32"/>
          <w:shd w:val="clear" w:color="auto" w:fill="FFFFFF"/>
        </w:rPr>
        <w:t>万元。其中：人员经费</w:t>
      </w:r>
      <w:r>
        <w:rPr>
          <w:rFonts w:hint="default" w:ascii="Times New Roman" w:hAnsi="Times New Roman" w:eastAsia="方正仿宋_GBK" w:cs="Times New Roman"/>
          <w:color w:val="auto"/>
          <w:sz w:val="32"/>
          <w:szCs w:val="32"/>
        </w:rPr>
        <w:t>527.75</w:t>
      </w:r>
      <w:r>
        <w:rPr>
          <w:rFonts w:hint="default" w:ascii="Times New Roman" w:hAnsi="Times New Roman" w:eastAsia="方正仿宋_GBK" w:cs="Times New Roman"/>
          <w:color w:val="auto"/>
          <w:sz w:val="32"/>
          <w:szCs w:val="32"/>
          <w:shd w:val="clear" w:color="auto" w:fill="FFFFFF"/>
        </w:rPr>
        <w:t>万元，较上年决算数增加57.66万元，增长12.27%，主要原因是</w:t>
      </w:r>
      <w:r>
        <w:rPr>
          <w:rFonts w:hint="default" w:ascii="Times New Roman" w:hAnsi="Times New Roman" w:eastAsia="方正仿宋_GBK" w:cs="Times New Roman"/>
          <w:color w:val="auto"/>
          <w:sz w:val="32"/>
          <w:szCs w:val="32"/>
          <w:shd w:val="clear" w:color="auto" w:fill="FFFFFF"/>
          <w:lang w:val="en-US" w:eastAsia="zh-CN"/>
        </w:rPr>
        <w:t>在职人员工资调标及新招录人员使得人员经费增加。</w:t>
      </w:r>
      <w:r>
        <w:rPr>
          <w:rFonts w:hint="default" w:ascii="Times New Roman" w:hAnsi="Times New Roman" w:eastAsia="方正仿宋_GBK" w:cs="Times New Roman"/>
          <w:color w:val="auto"/>
          <w:sz w:val="32"/>
          <w:szCs w:val="32"/>
          <w:shd w:val="clear" w:color="auto" w:fill="FFFFFF"/>
        </w:rPr>
        <w:t>人员经费用途主要包括基本工资、津贴补贴、绩效工资、住房公积金、养老保险、职业年金、医疗保险、奖金、绩效考核等。公用经费</w:t>
      </w:r>
      <w:r>
        <w:rPr>
          <w:rFonts w:hint="default" w:ascii="Times New Roman" w:hAnsi="Times New Roman" w:eastAsia="方正仿宋_GBK" w:cs="Times New Roman"/>
          <w:color w:val="auto"/>
          <w:sz w:val="32"/>
          <w:szCs w:val="32"/>
        </w:rPr>
        <w:t>74.94</w:t>
      </w:r>
      <w:r>
        <w:rPr>
          <w:rFonts w:hint="default" w:ascii="Times New Roman" w:hAnsi="Times New Roman" w:eastAsia="方正仿宋_GBK" w:cs="Times New Roman"/>
          <w:color w:val="auto"/>
          <w:sz w:val="32"/>
          <w:szCs w:val="32"/>
          <w:shd w:val="clear" w:color="auto" w:fill="FFFFFF"/>
        </w:rPr>
        <w:t>万元，较上年决算数减少14.77万元，下降16.46%，主要原因是</w:t>
      </w:r>
      <w:r>
        <w:rPr>
          <w:rFonts w:hint="default" w:ascii="Times New Roman" w:hAnsi="Times New Roman" w:eastAsia="方正仿宋_GBK" w:cs="Times New Roman"/>
          <w:color w:val="auto"/>
          <w:sz w:val="32"/>
          <w:szCs w:val="32"/>
          <w:shd w:val="clear" w:color="auto" w:fill="FFFFFF"/>
          <w:lang w:val="en-US" w:eastAsia="zh-CN"/>
        </w:rPr>
        <w:t>2023年本单位缩减开支，办公费、差旅费等支出减少。</w:t>
      </w:r>
      <w:r>
        <w:rPr>
          <w:rFonts w:hint="default" w:ascii="Times New Roman" w:hAnsi="Times New Roman" w:eastAsia="方正仿宋_GBK" w:cs="Times New Roman"/>
          <w:color w:val="auto"/>
          <w:sz w:val="32"/>
          <w:szCs w:val="32"/>
          <w:shd w:val="clear" w:color="auto" w:fill="FFFFFF"/>
        </w:rPr>
        <w:t>公用经费用途主要包括办公费、差旅费、水电费、邮电费、公务车运行费、招待费、交通费、福利费、工会费等。</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万元，较上年决算数减少18.46万元，下降100.00%，主要原因是</w:t>
      </w:r>
      <w:r>
        <w:rPr>
          <w:rFonts w:hint="default" w:ascii="Times New Roman" w:hAnsi="Times New Roman" w:eastAsia="方正仿宋_GBK" w:cs="Times New Roman"/>
          <w:color w:val="auto"/>
          <w:sz w:val="32"/>
          <w:szCs w:val="32"/>
          <w:shd w:val="clear" w:color="auto" w:fill="FFFFFF"/>
          <w:lang w:val="en-US" w:eastAsia="zh-CN"/>
        </w:rPr>
        <w:t>本单位2023年度无政府性基金预算财政拨款收支。</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万元，较上年决算数减少18.46万元，下降100.00%，主要原因是</w:t>
      </w:r>
      <w:r>
        <w:rPr>
          <w:rFonts w:hint="default" w:ascii="Times New Roman" w:hAnsi="Times New Roman" w:eastAsia="方正仿宋_GBK" w:cs="Times New Roman"/>
          <w:color w:val="auto"/>
          <w:sz w:val="32"/>
          <w:szCs w:val="32"/>
          <w:shd w:val="clear" w:color="auto" w:fill="FFFFFF"/>
          <w:lang w:val="en-US" w:eastAsia="zh-CN"/>
        </w:rPr>
        <w:t>本单位2023年度无政府性基金预算财政拨款收支。</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 2023年度国有资本经营预算财政拨本年支出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lang w:val="en-US" w:eastAsia="zh-CN"/>
        </w:rPr>
        <w:t>单位</w:t>
      </w:r>
      <w:r>
        <w:rPr>
          <w:rFonts w:hint="default" w:ascii="Times New Roman" w:hAnsi="Times New Roman" w:eastAsia="方正仿宋_GBK" w:cs="Times New Roman"/>
          <w:sz w:val="32"/>
          <w:szCs w:val="32"/>
          <w:shd w:val="clear" w:color="auto" w:fill="FFFFFF"/>
        </w:rPr>
        <w:t>2023年度无国有资本经营预算财政拨款支出。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三、“三公”经费情况说明</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6.75</w:t>
      </w:r>
      <w:r>
        <w:rPr>
          <w:rFonts w:hint="default" w:ascii="Times New Roman" w:hAnsi="Times New Roman" w:eastAsia="方正仿宋_GBK" w:cs="Times New Roman"/>
          <w:sz w:val="32"/>
          <w:szCs w:val="32"/>
          <w:shd w:val="clear" w:color="auto" w:fill="FFFFFF"/>
        </w:rPr>
        <w:t>万元，较年初预算数无增减，主要原因是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我单位严格控制</w:t>
      </w:r>
      <w:r>
        <w:rPr>
          <w:rFonts w:hint="eastAsia" w:ascii="Times New Roman" w:hAnsi="Times New Roman" w:eastAsia="方正仿宋_GBK" w:cs="Times New Roman"/>
          <w:color w:val="auto"/>
          <w:sz w:val="32"/>
          <w:szCs w:val="32"/>
          <w:shd w:val="clear" w:color="auto" w:fill="FFFFFF"/>
          <w:lang w:val="en-US" w:eastAsia="zh-CN"/>
        </w:rPr>
        <w:t>“三公”</w:t>
      </w:r>
      <w:r>
        <w:rPr>
          <w:rFonts w:hint="default" w:ascii="Times New Roman" w:hAnsi="Times New Roman" w:eastAsia="方正仿宋_GBK" w:cs="Times New Roman"/>
          <w:color w:val="auto"/>
          <w:sz w:val="32"/>
          <w:szCs w:val="32"/>
          <w:shd w:val="clear" w:color="auto" w:fill="FFFFFF"/>
          <w:lang w:val="en-US" w:eastAsia="zh-CN"/>
        </w:rPr>
        <w:t>经费开支，严格执行年初预算。</w:t>
      </w:r>
      <w:r>
        <w:rPr>
          <w:rFonts w:hint="default" w:ascii="Times New Roman" w:hAnsi="Times New Roman" w:eastAsia="方正仿宋_GBK" w:cs="Times New Roman"/>
          <w:color w:val="auto"/>
          <w:sz w:val="32"/>
          <w:szCs w:val="32"/>
          <w:shd w:val="clear" w:color="auto" w:fill="FFFFFF"/>
        </w:rPr>
        <w:t>较上年支出数减少0.05万元，下降0.74%，主要原因是</w:t>
      </w:r>
      <w:r>
        <w:rPr>
          <w:rFonts w:hint="default" w:ascii="Times New Roman" w:hAnsi="Times New Roman" w:eastAsia="方正仿宋_GBK" w:cs="Times New Roman"/>
          <w:color w:val="auto"/>
          <w:sz w:val="32"/>
          <w:szCs w:val="32"/>
          <w:shd w:val="clear" w:color="auto" w:fill="FFFFFF"/>
          <w:lang w:val="en-US" w:eastAsia="zh-CN"/>
        </w:rPr>
        <w:t>本年度我单位缩减开支，公务接待费支出减少。</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2023年度本单位</w:t>
      </w:r>
      <w:r>
        <w:rPr>
          <w:rFonts w:hint="default" w:ascii="Times New Roman" w:hAnsi="Times New Roman" w:eastAsia="方正仿宋_GBK" w:cs="Times New Roman"/>
          <w:sz w:val="32"/>
          <w:szCs w:val="32"/>
          <w:shd w:val="clear" w:color="auto" w:fill="FFFFFF"/>
          <w:lang w:val="en-US" w:eastAsia="zh-CN"/>
        </w:rPr>
        <w:t>未产生</w:t>
      </w:r>
      <w:r>
        <w:rPr>
          <w:rFonts w:hint="default" w:ascii="Times New Roman" w:hAnsi="Times New Roman" w:eastAsia="方正仿宋_GBK" w:cs="Times New Roman"/>
          <w:sz w:val="32"/>
          <w:szCs w:val="32"/>
          <w:shd w:val="clear" w:color="auto" w:fill="FFFFFF"/>
        </w:rPr>
        <w:t>因公出国（境）费用</w:t>
      </w:r>
      <w:r>
        <w:rPr>
          <w:rFonts w:hint="default" w:ascii="Times New Roman" w:hAnsi="Times New Roman" w:eastAsia="方正仿宋_GBK" w:cs="Times New Roman"/>
          <w:sz w:val="32"/>
          <w:szCs w:val="32"/>
          <w:lang w:eastAsia="zh-CN"/>
        </w:rPr>
        <w:t>。</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val="en-US" w:eastAsia="zh-CN"/>
        </w:rPr>
        <w:t>2023年度我单位为购置新车，未产生</w:t>
      </w:r>
      <w:r>
        <w:rPr>
          <w:rFonts w:hint="default" w:ascii="Times New Roman" w:hAnsi="Times New Roman" w:eastAsia="方正仿宋_GBK" w:cs="Times New Roman"/>
          <w:sz w:val="32"/>
          <w:szCs w:val="32"/>
          <w:shd w:val="clear" w:color="auto" w:fill="FFFFFF"/>
        </w:rPr>
        <w:t>公务车购置费。</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6.00</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color w:val="auto"/>
          <w:sz w:val="32"/>
          <w:szCs w:val="32"/>
          <w:shd w:val="clear" w:color="auto" w:fill="FFFFFF"/>
          <w:lang w:val="en-US" w:eastAsia="zh-CN"/>
        </w:rPr>
        <w:t>公务用车加油、维修保养、购买保险等。</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我单位严格执行年初预算，控制费用支出。</w:t>
      </w:r>
      <w:r>
        <w:rPr>
          <w:rFonts w:hint="default" w:ascii="Times New Roman" w:hAnsi="Times New Roman" w:eastAsia="方正仿宋_GBK" w:cs="Times New Roman"/>
          <w:color w:val="auto"/>
          <w:sz w:val="32"/>
          <w:szCs w:val="32"/>
          <w:shd w:val="clear" w:color="auto" w:fill="FFFFFF"/>
        </w:rPr>
        <w:t>较上年支出数无增减，主要原因是</w:t>
      </w:r>
      <w:r>
        <w:rPr>
          <w:rFonts w:hint="default" w:ascii="Times New Roman" w:hAnsi="Times New Roman" w:eastAsia="方正仿宋_GBK" w:cs="Times New Roman"/>
          <w:color w:val="auto"/>
          <w:sz w:val="32"/>
          <w:szCs w:val="32"/>
          <w:shd w:val="clear" w:color="auto" w:fill="FFFFFF"/>
          <w:lang w:val="en-US" w:eastAsia="zh-CN"/>
        </w:rPr>
        <w:t>我单位严格控制公务车运行维护费用支出。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shd w:val="clear" w:color="auto" w:fill="FFFFFF"/>
        </w:rPr>
        <w:t> 公务接待费</w:t>
      </w:r>
      <w:r>
        <w:rPr>
          <w:rFonts w:hint="default" w:ascii="Times New Roman" w:hAnsi="Times New Roman" w:eastAsia="方正仿宋_GBK" w:cs="Times New Roman"/>
          <w:color w:val="auto"/>
          <w:sz w:val="32"/>
          <w:szCs w:val="32"/>
        </w:rPr>
        <w:t>0.75</w:t>
      </w:r>
      <w:r>
        <w:rPr>
          <w:rFonts w:hint="default" w:ascii="Times New Roman" w:hAnsi="Times New Roman" w:eastAsia="方正仿宋_GBK" w:cs="Times New Roman"/>
          <w:color w:val="auto"/>
          <w:sz w:val="32"/>
          <w:szCs w:val="32"/>
          <w:shd w:val="clear" w:color="auto" w:fill="FFFFFF"/>
        </w:rPr>
        <w:t>万元，主要用于接待</w:t>
      </w:r>
      <w:r>
        <w:rPr>
          <w:rFonts w:hint="default" w:ascii="Times New Roman" w:hAnsi="Times New Roman" w:eastAsia="方正仿宋_GBK" w:cs="Times New Roman"/>
          <w:color w:val="auto"/>
          <w:sz w:val="32"/>
          <w:szCs w:val="32"/>
          <w:shd w:val="clear" w:color="auto" w:fill="FFFFFF"/>
          <w:lang w:val="en-US" w:eastAsia="zh-CN"/>
        </w:rPr>
        <w:t>上级单位来人检查工作。</w:t>
      </w:r>
      <w:r>
        <w:rPr>
          <w:rFonts w:hint="default" w:ascii="Times New Roman" w:hAnsi="Times New Roman" w:eastAsia="方正仿宋_GBK" w:cs="Times New Roman"/>
          <w:color w:val="auto"/>
          <w:sz w:val="32"/>
          <w:szCs w:val="32"/>
          <w:shd w:val="clear" w:color="auto" w:fill="FFFFFF"/>
        </w:rPr>
        <w:t>费用支出较年初预算数无增减，主要原因是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我单位严格执行年初预算。</w:t>
      </w:r>
      <w:r>
        <w:rPr>
          <w:rFonts w:hint="default" w:ascii="Times New Roman" w:hAnsi="Times New Roman" w:eastAsia="方正仿宋_GBK" w:cs="Times New Roman"/>
          <w:color w:val="auto"/>
          <w:sz w:val="32"/>
          <w:szCs w:val="32"/>
          <w:shd w:val="clear" w:color="auto" w:fill="FFFFFF"/>
        </w:rPr>
        <w:t>较上年支出数减少0.05万元，下降6.25%，主要原因是</w:t>
      </w:r>
      <w:r>
        <w:rPr>
          <w:rFonts w:hint="default" w:ascii="Times New Roman" w:hAnsi="Times New Roman" w:eastAsia="方正仿宋_GBK" w:cs="Times New Roman"/>
          <w:color w:val="auto"/>
          <w:sz w:val="32"/>
          <w:szCs w:val="32"/>
          <w:shd w:val="clear" w:color="auto" w:fill="FFFFFF"/>
          <w:lang w:val="en-US" w:eastAsia="zh-CN"/>
        </w:rPr>
        <w:t>本年度接待人次减少。</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120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62.50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2.00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2" w:firstLineChars="200"/>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shd w:val="clear" w:color="auto" w:fill="FFFFFF"/>
          <w:lang w:val="en-US" w:eastAsia="zh-CN"/>
        </w:rPr>
        <w:t>因财政资金紧缺及单位会议成本低等原因，财政未保障我单位会议费</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1.40</w:t>
      </w:r>
      <w:r>
        <w:rPr>
          <w:rFonts w:hint="default" w:ascii="Times New Roman" w:hAnsi="Times New Roman" w:eastAsia="方正仿宋_GBK" w:cs="Times New Roman"/>
          <w:sz w:val="32"/>
          <w:szCs w:val="32"/>
          <w:shd w:val="clear" w:color="auto" w:fill="FFFFFF"/>
        </w:rPr>
        <w:t>万元，较上年决算数减少0.02万元，下降1.41%，主要原因是</w:t>
      </w:r>
      <w:r>
        <w:rPr>
          <w:rFonts w:hint="default" w:ascii="Times New Roman" w:hAnsi="Times New Roman" w:eastAsia="方正仿宋_GBK" w:cs="Times New Roman"/>
          <w:sz w:val="32"/>
          <w:szCs w:val="32"/>
          <w:shd w:val="clear" w:color="auto" w:fill="FFFFFF"/>
          <w:lang w:val="en-US" w:eastAsia="zh-CN"/>
        </w:rPr>
        <w:t>本年度培训次数减少。</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74.94</w:t>
      </w:r>
      <w:r>
        <w:rPr>
          <w:rFonts w:hint="default" w:ascii="Times New Roman" w:hAnsi="Times New Roman" w:eastAsia="方正仿宋_GBK" w:cs="Times New Roman"/>
          <w:sz w:val="32"/>
          <w:szCs w:val="32"/>
          <w:shd w:val="clear" w:color="auto" w:fill="FFFFFF"/>
        </w:rPr>
        <w:t>万元，机关运行经费主要用于开</w:t>
      </w:r>
      <w:r>
        <w:rPr>
          <w:rFonts w:hint="default" w:ascii="Times New Roman" w:hAnsi="Times New Roman" w:eastAsia="方正仿宋_GBK" w:cs="Times New Roman"/>
          <w:color w:val="auto"/>
          <w:sz w:val="32"/>
          <w:szCs w:val="32"/>
          <w:shd w:val="clear" w:color="auto" w:fill="FFFFFF"/>
        </w:rPr>
        <w:t>支办公费、电费、邮电费、差旅费、会议费、培训费、工会费、公务车运行费、其他交通费。</w:t>
      </w:r>
      <w:r>
        <w:rPr>
          <w:rFonts w:hint="default" w:ascii="Times New Roman" w:hAnsi="Times New Roman" w:eastAsia="方正仿宋_GBK" w:cs="Times New Roman"/>
          <w:sz w:val="32"/>
          <w:szCs w:val="32"/>
          <w:shd w:val="clear" w:color="auto" w:fill="FFFFFF"/>
        </w:rPr>
        <w:t>机关运行经费较上年支出数减少14.77万元，下降16.46%，主要原因是</w:t>
      </w:r>
      <w:r>
        <w:rPr>
          <w:rFonts w:hint="default" w:ascii="Times New Roman" w:hAnsi="Times New Roman" w:eastAsia="方正仿宋_GBK" w:cs="Times New Roman"/>
          <w:color w:val="auto"/>
          <w:sz w:val="32"/>
          <w:szCs w:val="32"/>
          <w:shd w:val="clear" w:color="auto" w:fill="FFFFFF"/>
          <w:lang w:val="en-US" w:eastAsia="zh-CN"/>
        </w:rPr>
        <w:t>2023年度本部门缩减开支，差旅费、办公费、会议费减少。</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sz w:val="32"/>
          <w:szCs w:val="32"/>
          <w:shd w:val="clear" w:color="auto" w:fill="FFFFFF"/>
        </w:rPr>
        <w:t>  2023年度本单位政府采购支出总额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，2023年度我单位未发生政府采购事项，无相关经费支出。</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ind w:firstLine="642"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lang w:val="en-US" w:eastAsia="zh-CN"/>
        </w:rPr>
        <w:t>五、</w:t>
      </w:r>
      <w:r>
        <w:rPr>
          <w:rStyle w:val="10"/>
          <w:rFonts w:hint="default" w:ascii="Times New Roman" w:hAnsi="Times New Roman" w:eastAsia="黑体" w:cs="Times New Roman"/>
          <w:sz w:val="32"/>
          <w:szCs w:val="32"/>
          <w:shd w:val="clear" w:color="auto" w:fill="FFFFFF"/>
        </w:rPr>
        <w:t>预算绩效管理情况说明</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根据预算绩效管理要求，我单位对部门整体开展了绩效自评，涉及资金</w:t>
      </w:r>
      <w:r>
        <w:rPr>
          <w:rFonts w:hint="eastAsia" w:ascii="Times New Roman" w:hAnsi="Times New Roman" w:eastAsia="方正仿宋_GBK" w:cs="Times New Roman"/>
          <w:sz w:val="32"/>
          <w:szCs w:val="32"/>
          <w:shd w:val="clear" w:color="auto" w:fill="FFFFFF"/>
          <w:lang w:val="en-US" w:eastAsia="zh-CN"/>
        </w:rPr>
        <w:t>1255.68</w:t>
      </w:r>
      <w:r>
        <w:rPr>
          <w:rFonts w:hint="default" w:ascii="Times New Roman" w:hAnsi="Times New Roman" w:eastAsia="方正仿宋_GBK" w:cs="Times New Roman"/>
          <w:sz w:val="32"/>
          <w:szCs w:val="32"/>
          <w:shd w:val="clear" w:color="auto" w:fill="FFFFFF"/>
        </w:rPr>
        <w:t>万元。</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b/>
          <w:bCs/>
          <w:sz w:val="28"/>
          <w:szCs w:val="28"/>
          <w:shd w:val="clear" w:color="auto" w:fill="FFFFFF"/>
          <w:lang w:val="en-US" w:eastAsia="zh-CN"/>
        </w:rPr>
      </w:pPr>
      <w:r>
        <w:rPr>
          <w:rFonts w:hint="default" w:ascii="Times New Roman" w:hAnsi="Times New Roman" w:eastAsia="方正仿宋_GBK" w:cs="Times New Roman"/>
          <w:b/>
          <w:bCs/>
          <w:sz w:val="28"/>
          <w:szCs w:val="28"/>
          <w:shd w:val="clear" w:color="auto" w:fill="FFFFFF"/>
          <w:lang w:val="en-US" w:eastAsia="zh-CN"/>
        </w:rPr>
        <w:t>部门整体绩效目标自评表</w:t>
      </w:r>
    </w:p>
    <w:tbl>
      <w:tblPr>
        <w:tblStyle w:val="7"/>
        <w:tblW w:w="8669" w:type="dxa"/>
        <w:jc w:val="center"/>
        <w:shd w:val="clear" w:color="auto" w:fill="auto"/>
        <w:tblLayout w:type="fixed"/>
        <w:tblCellMar>
          <w:top w:w="0" w:type="dxa"/>
          <w:left w:w="0" w:type="dxa"/>
          <w:bottom w:w="0" w:type="dxa"/>
          <w:right w:w="0" w:type="dxa"/>
        </w:tblCellMar>
      </w:tblPr>
      <w:tblGrid>
        <w:gridCol w:w="900"/>
        <w:gridCol w:w="1155"/>
        <w:gridCol w:w="645"/>
        <w:gridCol w:w="615"/>
        <w:gridCol w:w="645"/>
        <w:gridCol w:w="810"/>
        <w:gridCol w:w="1744"/>
        <w:gridCol w:w="2155"/>
      </w:tblGrid>
      <w:tr>
        <w:tblPrEx>
          <w:shd w:val="clear" w:color="auto" w:fill="auto"/>
          <w:tblCellMar>
            <w:top w:w="0" w:type="dxa"/>
            <w:left w:w="0" w:type="dxa"/>
            <w:bottom w:w="0" w:type="dxa"/>
            <w:right w:w="0" w:type="dxa"/>
          </w:tblCellMar>
        </w:tblPrEx>
        <w:trPr>
          <w:trHeight w:val="1080" w:hRule="atLeast"/>
          <w:jc w:val="center"/>
        </w:trPr>
        <w:tc>
          <w:tcPr>
            <w:tcW w:w="8669"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6"/>
                <w:szCs w:val="36"/>
                <w:u w:val="none"/>
              </w:rPr>
            </w:pPr>
            <w:r>
              <w:rPr>
                <w:rFonts w:hint="default" w:ascii="Times New Roman" w:hAnsi="Times New Roman" w:eastAsia="宋体" w:cs="Times New Roman"/>
                <w:i w:val="0"/>
                <w:color w:val="000000"/>
                <w:kern w:val="0"/>
                <w:sz w:val="36"/>
                <w:szCs w:val="36"/>
                <w:u w:val="none"/>
                <w:lang w:val="en-US" w:eastAsia="zh-CN" w:bidi="ar"/>
              </w:rPr>
              <w:t>2023</w:t>
            </w:r>
            <w:r>
              <w:rPr>
                <w:rStyle w:val="16"/>
                <w:lang w:val="en-US" w:eastAsia="zh-CN" w:bidi="ar"/>
              </w:rPr>
              <w:t>年度部门（单位）整体绩效目标自评表</w:t>
            </w:r>
          </w:p>
        </w:tc>
      </w:tr>
      <w:tr>
        <w:tblPrEx>
          <w:shd w:val="clear" w:color="auto" w:fill="auto"/>
          <w:tblCellMar>
            <w:top w:w="0" w:type="dxa"/>
            <w:left w:w="0" w:type="dxa"/>
            <w:bottom w:w="0" w:type="dxa"/>
            <w:right w:w="0" w:type="dxa"/>
          </w:tblCellMar>
        </w:tblPrEx>
        <w:trPr>
          <w:trHeight w:val="134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17"/>
                <w:lang w:val="en-US" w:eastAsia="zh-CN" w:bidi="ar"/>
              </w:rPr>
              <w:t>部门（单位）名称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Style w:val="17"/>
                <w:lang w:val="en-US" w:eastAsia="zh-CN" w:bidi="ar"/>
              </w:rPr>
              <w:t>兴峰乡人民政府</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17"/>
                <w:lang w:val="en-US" w:eastAsia="zh-CN" w:bidi="ar"/>
              </w:rPr>
              <w:t>预算支出总量（万元）</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1255.68</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17"/>
                <w:lang w:val="en-US" w:eastAsia="zh-CN" w:bidi="ar"/>
              </w:rPr>
              <w:t>实际支出总量（万元）</w:t>
            </w: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1255.68</w:t>
            </w:r>
          </w:p>
        </w:tc>
      </w:tr>
      <w:tr>
        <w:tblPrEx>
          <w:shd w:val="clear" w:color="auto" w:fill="auto"/>
          <w:tblCellMar>
            <w:top w:w="0" w:type="dxa"/>
            <w:left w:w="0" w:type="dxa"/>
            <w:bottom w:w="0" w:type="dxa"/>
            <w:right w:w="0" w:type="dxa"/>
          </w:tblCellMar>
        </w:tblPrEx>
        <w:trPr>
          <w:trHeight w:val="465" w:hRule="atLeast"/>
          <w:jc w:val="center"/>
        </w:trPr>
        <w:tc>
          <w:tcPr>
            <w:tcW w:w="900"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7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8"/>
                <w:lang w:val="en-US" w:eastAsia="zh-CN" w:bidi="ar"/>
              </w:rPr>
              <w:t>年初设定目标</w:t>
            </w:r>
            <w:r>
              <w:rPr>
                <w:rStyle w:val="19"/>
                <w:rFonts w:eastAsia="宋体"/>
                <w:lang w:val="en-US" w:eastAsia="zh-CN" w:bidi="ar"/>
              </w:rPr>
              <w:t xml:space="preserve"> </w:t>
            </w:r>
          </w:p>
        </w:tc>
        <w:tc>
          <w:tcPr>
            <w:tcW w:w="38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8"/>
                <w:lang w:val="en-US" w:eastAsia="zh-CN" w:bidi="ar"/>
              </w:rPr>
              <w:t>全年实际完成情况</w:t>
            </w:r>
            <w:r>
              <w:rPr>
                <w:rStyle w:val="19"/>
                <w:rFonts w:eastAsia="宋体"/>
                <w:lang w:val="en-US" w:eastAsia="zh-CN" w:bidi="ar"/>
              </w:rPr>
              <w:t xml:space="preserve"> </w:t>
            </w:r>
          </w:p>
        </w:tc>
      </w:tr>
      <w:tr>
        <w:tblPrEx>
          <w:tblCellMar>
            <w:top w:w="0" w:type="dxa"/>
            <w:left w:w="0" w:type="dxa"/>
            <w:bottom w:w="0" w:type="dxa"/>
            <w:right w:w="0" w:type="dxa"/>
          </w:tblCellMar>
        </w:tblPrEx>
        <w:trPr>
          <w:trHeight w:val="270" w:hRule="atLeast"/>
          <w:jc w:val="center"/>
        </w:trPr>
        <w:tc>
          <w:tcPr>
            <w:tcW w:w="90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8"/>
                <w:lang w:val="en-US" w:eastAsia="zh-CN" w:bidi="ar"/>
              </w:rPr>
              <w:t>当年整体绩效目标</w:t>
            </w:r>
          </w:p>
        </w:tc>
        <w:tc>
          <w:tcPr>
            <w:tcW w:w="387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20"/>
                <w:rFonts w:hint="eastAsia" w:ascii="方正仿宋_GBK" w:hAnsi="方正仿宋_GBK" w:eastAsia="方正仿宋_GBK" w:cs="方正仿宋_GBK"/>
                <w:lang w:val="en-US" w:eastAsia="zh-CN" w:bidi="ar"/>
              </w:rPr>
              <w:t>全乡经济社会发展的主要预期目标是：地区生产总值增长</w:t>
            </w:r>
            <w:r>
              <w:rPr>
                <w:rStyle w:val="21"/>
                <w:rFonts w:hint="eastAsia" w:ascii="方正仿宋_GBK" w:hAnsi="方正仿宋_GBK" w:eastAsia="方正仿宋_GBK" w:cs="方正仿宋_GBK"/>
                <w:lang w:val="en-US" w:eastAsia="zh-CN" w:bidi="ar"/>
              </w:rPr>
              <w:t>6%</w:t>
            </w:r>
            <w:r>
              <w:rPr>
                <w:rStyle w:val="20"/>
                <w:rFonts w:hint="eastAsia" w:ascii="方正仿宋_GBK" w:hAnsi="方正仿宋_GBK" w:eastAsia="方正仿宋_GBK" w:cs="方正仿宋_GBK"/>
                <w:lang w:val="en-US" w:eastAsia="zh-CN" w:bidi="ar"/>
              </w:rPr>
              <w:t>左右；固定资产投资增长</w:t>
            </w:r>
            <w:r>
              <w:rPr>
                <w:rStyle w:val="21"/>
                <w:rFonts w:hint="eastAsia" w:ascii="方正仿宋_GBK" w:hAnsi="方正仿宋_GBK" w:eastAsia="方正仿宋_GBK" w:cs="方正仿宋_GBK"/>
                <w:lang w:val="en-US" w:eastAsia="zh-CN" w:bidi="ar"/>
              </w:rPr>
              <w:t>10%</w:t>
            </w:r>
            <w:r>
              <w:rPr>
                <w:rStyle w:val="20"/>
                <w:rFonts w:hint="eastAsia" w:ascii="方正仿宋_GBK" w:hAnsi="方正仿宋_GBK" w:eastAsia="方正仿宋_GBK" w:cs="方正仿宋_GBK"/>
                <w:lang w:val="en-US" w:eastAsia="zh-CN" w:bidi="ar"/>
              </w:rPr>
              <w:t>左右；社会消费品零售总额增长</w:t>
            </w:r>
            <w:r>
              <w:rPr>
                <w:rStyle w:val="21"/>
                <w:rFonts w:hint="eastAsia" w:ascii="方正仿宋_GBK" w:hAnsi="方正仿宋_GBK" w:eastAsia="方正仿宋_GBK" w:cs="方正仿宋_GBK"/>
                <w:lang w:val="en-US" w:eastAsia="zh-CN" w:bidi="ar"/>
              </w:rPr>
              <w:t>9%</w:t>
            </w:r>
            <w:r>
              <w:rPr>
                <w:rStyle w:val="20"/>
                <w:rFonts w:hint="eastAsia" w:ascii="方正仿宋_GBK" w:hAnsi="方正仿宋_GBK" w:eastAsia="方正仿宋_GBK" w:cs="方正仿宋_GBK"/>
                <w:lang w:val="en-US" w:eastAsia="zh-CN" w:bidi="ar"/>
              </w:rPr>
              <w:t>以上；农村居民人均可支配收入增长</w:t>
            </w:r>
            <w:r>
              <w:rPr>
                <w:rStyle w:val="21"/>
                <w:rFonts w:hint="eastAsia" w:ascii="方正仿宋_GBK" w:hAnsi="方正仿宋_GBK" w:eastAsia="方正仿宋_GBK" w:cs="方正仿宋_GBK"/>
                <w:lang w:val="en-US" w:eastAsia="zh-CN" w:bidi="ar"/>
              </w:rPr>
              <w:t>5%</w:t>
            </w:r>
            <w:r>
              <w:rPr>
                <w:rStyle w:val="20"/>
                <w:rFonts w:hint="eastAsia" w:ascii="方正仿宋_GBK" w:hAnsi="方正仿宋_GBK" w:eastAsia="方正仿宋_GBK" w:cs="方正仿宋_GBK"/>
                <w:lang w:val="en-US" w:eastAsia="zh-CN" w:bidi="ar"/>
              </w:rPr>
              <w:t>左右；进一步提高兴峰敬老院特困人员入住率，力争到</w:t>
            </w:r>
            <w:r>
              <w:rPr>
                <w:rStyle w:val="21"/>
                <w:rFonts w:hint="eastAsia" w:ascii="方正仿宋_GBK" w:hAnsi="方正仿宋_GBK" w:eastAsia="方正仿宋_GBK" w:cs="方正仿宋_GBK"/>
                <w:lang w:val="en-US" w:eastAsia="zh-CN" w:bidi="ar"/>
              </w:rPr>
              <w:t>2023</w:t>
            </w:r>
            <w:r>
              <w:rPr>
                <w:rStyle w:val="20"/>
                <w:rFonts w:hint="eastAsia" w:ascii="方正仿宋_GBK" w:hAnsi="方正仿宋_GBK" w:eastAsia="方正仿宋_GBK" w:cs="方正仿宋_GBK"/>
                <w:lang w:val="en-US" w:eastAsia="zh-CN" w:bidi="ar"/>
              </w:rPr>
              <w:t>年底入住率达</w:t>
            </w:r>
            <w:r>
              <w:rPr>
                <w:rStyle w:val="21"/>
                <w:rFonts w:hint="eastAsia" w:ascii="方正仿宋_GBK" w:hAnsi="方正仿宋_GBK" w:eastAsia="方正仿宋_GBK" w:cs="方正仿宋_GBK"/>
                <w:lang w:val="en-US" w:eastAsia="zh-CN" w:bidi="ar"/>
              </w:rPr>
              <w:t>70%</w:t>
            </w:r>
            <w:r>
              <w:rPr>
                <w:rStyle w:val="20"/>
                <w:rFonts w:hint="eastAsia" w:ascii="方正仿宋_GBK" w:hAnsi="方正仿宋_GBK" w:eastAsia="方正仿宋_GBK" w:cs="方正仿宋_GBK"/>
                <w:lang w:val="en-US" w:eastAsia="zh-CN" w:bidi="ar"/>
              </w:rPr>
              <w:t>以上。</w:t>
            </w:r>
            <w:r>
              <w:rPr>
                <w:rStyle w:val="21"/>
                <w:rFonts w:eastAsia="宋体"/>
                <w:lang w:val="en-US" w:eastAsia="zh-CN" w:bidi="ar"/>
              </w:rPr>
              <w:t xml:space="preserve"> </w:t>
            </w:r>
          </w:p>
        </w:tc>
        <w:tc>
          <w:tcPr>
            <w:tcW w:w="38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20"/>
                <w:rFonts w:hint="eastAsia" w:ascii="方正仿宋_GBK" w:hAnsi="方正仿宋_GBK" w:eastAsia="方正仿宋_GBK" w:cs="方正仿宋_GBK"/>
                <w:lang w:val="en-US" w:eastAsia="zh-CN" w:bidi="ar"/>
              </w:rPr>
              <w:t>我们坚持以习近平新时代中国特色社会主义思想为指导，深入贯彻落实党的二十大、二十届历次全会精神，坚持稳中求进工作总基调，坚持新发展理念，坚持推动高质量发展，坚持全面从严治党，做到</w:t>
            </w:r>
            <w:r>
              <w:rPr>
                <w:rStyle w:val="21"/>
                <w:rFonts w:hint="eastAsia" w:ascii="方正仿宋_GBK" w:hAnsi="方正仿宋_GBK" w:eastAsia="方正仿宋_GBK" w:cs="方正仿宋_GBK"/>
                <w:lang w:val="en-US" w:eastAsia="zh-CN" w:bidi="ar"/>
              </w:rPr>
              <w:t>“</w:t>
            </w:r>
            <w:r>
              <w:rPr>
                <w:rStyle w:val="20"/>
                <w:rFonts w:hint="eastAsia" w:ascii="方正仿宋_GBK" w:hAnsi="方正仿宋_GBK" w:eastAsia="方正仿宋_GBK" w:cs="方正仿宋_GBK"/>
                <w:lang w:val="en-US" w:eastAsia="zh-CN" w:bidi="ar"/>
              </w:rPr>
              <w:t>四个意识、四个自信和两个维护</w:t>
            </w:r>
            <w:r>
              <w:rPr>
                <w:rStyle w:val="21"/>
                <w:rFonts w:hint="eastAsia" w:ascii="方正仿宋_GBK" w:hAnsi="方正仿宋_GBK" w:eastAsia="方正仿宋_GBK" w:cs="方正仿宋_GBK"/>
                <w:lang w:val="en-US" w:eastAsia="zh-CN" w:bidi="ar"/>
              </w:rPr>
              <w:t>”</w:t>
            </w:r>
            <w:r>
              <w:rPr>
                <w:rStyle w:val="20"/>
                <w:rFonts w:hint="eastAsia" w:ascii="方正仿宋_GBK" w:hAnsi="方正仿宋_GBK" w:eastAsia="方正仿宋_GBK" w:cs="方正仿宋_GBK"/>
                <w:lang w:val="en-US" w:eastAsia="zh-CN" w:bidi="ar"/>
              </w:rPr>
              <w:t>，切实增强全乡人民幸福感、获得感、安全，切实营造风清气正的良好政治生态，切实保持全乡经济持续健康发展。我乡经济社会发展目标完成情况如下：实现地区生产总值增长</w:t>
            </w:r>
            <w:r>
              <w:rPr>
                <w:rStyle w:val="21"/>
                <w:rFonts w:hint="eastAsia" w:ascii="方正仿宋_GBK" w:hAnsi="方正仿宋_GBK" w:eastAsia="方正仿宋_GBK" w:cs="方正仿宋_GBK"/>
                <w:lang w:val="en-US" w:eastAsia="zh-CN" w:bidi="ar"/>
              </w:rPr>
              <w:t>6.6%</w:t>
            </w:r>
            <w:r>
              <w:rPr>
                <w:rStyle w:val="20"/>
                <w:rFonts w:hint="eastAsia" w:ascii="方正仿宋_GBK" w:hAnsi="方正仿宋_GBK" w:eastAsia="方正仿宋_GBK" w:cs="方正仿宋_GBK"/>
                <w:lang w:val="en-US" w:eastAsia="zh-CN" w:bidi="ar"/>
              </w:rPr>
              <w:t>；社会固定资产投资增长</w:t>
            </w:r>
            <w:r>
              <w:rPr>
                <w:rStyle w:val="21"/>
                <w:rFonts w:hint="eastAsia" w:ascii="方正仿宋_GBK" w:hAnsi="方正仿宋_GBK" w:eastAsia="方正仿宋_GBK" w:cs="方正仿宋_GBK"/>
                <w:lang w:val="en-US" w:eastAsia="zh-CN" w:bidi="ar"/>
              </w:rPr>
              <w:t>15%</w:t>
            </w:r>
            <w:r>
              <w:rPr>
                <w:rStyle w:val="20"/>
                <w:rFonts w:hint="eastAsia" w:ascii="方正仿宋_GBK" w:hAnsi="方正仿宋_GBK" w:eastAsia="方正仿宋_GBK" w:cs="方正仿宋_GBK"/>
                <w:lang w:val="en-US" w:eastAsia="zh-CN" w:bidi="ar"/>
              </w:rPr>
              <w:t>；敬老院入住率达</w:t>
            </w:r>
            <w:r>
              <w:rPr>
                <w:rStyle w:val="21"/>
                <w:rFonts w:hint="eastAsia" w:ascii="方正仿宋_GBK" w:hAnsi="方正仿宋_GBK" w:eastAsia="方正仿宋_GBK" w:cs="方正仿宋_GBK"/>
                <w:lang w:val="en-US" w:eastAsia="zh-CN" w:bidi="ar"/>
              </w:rPr>
              <w:t>75%</w:t>
            </w:r>
            <w:r>
              <w:rPr>
                <w:rStyle w:val="20"/>
                <w:rFonts w:hint="eastAsia" w:ascii="方正仿宋_GBK" w:hAnsi="方正仿宋_GBK" w:eastAsia="方正仿宋_GBK" w:cs="方正仿宋_GBK"/>
                <w:lang w:val="en-US" w:eastAsia="zh-CN" w:bidi="ar"/>
              </w:rPr>
              <w:t>；社会消费品零售总额增长</w:t>
            </w:r>
            <w:r>
              <w:rPr>
                <w:rStyle w:val="21"/>
                <w:rFonts w:hint="eastAsia" w:ascii="方正仿宋_GBK" w:hAnsi="方正仿宋_GBK" w:eastAsia="方正仿宋_GBK" w:cs="方正仿宋_GBK"/>
                <w:lang w:val="en-US" w:eastAsia="zh-CN" w:bidi="ar"/>
              </w:rPr>
              <w:t>9.4%</w:t>
            </w:r>
            <w:r>
              <w:rPr>
                <w:rStyle w:val="20"/>
                <w:rFonts w:hint="eastAsia" w:ascii="方正仿宋_GBK" w:hAnsi="方正仿宋_GBK" w:eastAsia="方正仿宋_GBK" w:cs="方正仿宋_GBK"/>
                <w:lang w:val="en-US" w:eastAsia="zh-CN" w:bidi="ar"/>
              </w:rPr>
              <w:t>；农村居民收入增长</w:t>
            </w:r>
            <w:r>
              <w:rPr>
                <w:rStyle w:val="21"/>
                <w:rFonts w:hint="eastAsia" w:ascii="方正仿宋_GBK" w:hAnsi="方正仿宋_GBK" w:eastAsia="方正仿宋_GBK" w:cs="方正仿宋_GBK"/>
                <w:lang w:val="en-US" w:eastAsia="zh-CN" w:bidi="ar"/>
              </w:rPr>
              <w:t>5.4%</w:t>
            </w:r>
            <w:r>
              <w:rPr>
                <w:rStyle w:val="20"/>
                <w:rFonts w:hint="eastAsia" w:ascii="方正仿宋_GBK" w:hAnsi="方正仿宋_GBK" w:eastAsia="方正仿宋_GBK" w:cs="方正仿宋_GBK"/>
                <w:lang w:val="en-US" w:eastAsia="zh-CN" w:bidi="ar"/>
              </w:rPr>
              <w:t>。</w:t>
            </w:r>
          </w:p>
        </w:tc>
      </w:tr>
      <w:tr>
        <w:tblPrEx>
          <w:tblCellMar>
            <w:top w:w="0" w:type="dxa"/>
            <w:left w:w="0" w:type="dxa"/>
            <w:bottom w:w="0" w:type="dxa"/>
            <w:right w:w="0" w:type="dxa"/>
          </w:tblCellMar>
        </w:tblPrEx>
        <w:trPr>
          <w:trHeight w:val="270" w:hRule="atLeast"/>
          <w:jc w:val="center"/>
        </w:trPr>
        <w:tc>
          <w:tcPr>
            <w:tcW w:w="9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7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38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jc w:val="center"/>
        </w:trPr>
        <w:tc>
          <w:tcPr>
            <w:tcW w:w="9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7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38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jc w:val="center"/>
        </w:trPr>
        <w:tc>
          <w:tcPr>
            <w:tcW w:w="9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7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38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jc w:val="center"/>
        </w:trPr>
        <w:tc>
          <w:tcPr>
            <w:tcW w:w="9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7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38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jc w:val="center"/>
        </w:trPr>
        <w:tc>
          <w:tcPr>
            <w:tcW w:w="9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7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38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jc w:val="center"/>
        </w:trPr>
        <w:tc>
          <w:tcPr>
            <w:tcW w:w="9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7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38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jc w:val="center"/>
        </w:trPr>
        <w:tc>
          <w:tcPr>
            <w:tcW w:w="9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7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38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jc w:val="center"/>
        </w:trPr>
        <w:tc>
          <w:tcPr>
            <w:tcW w:w="9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7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38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jc w:val="center"/>
        </w:trPr>
        <w:tc>
          <w:tcPr>
            <w:tcW w:w="9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7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38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1040" w:hRule="atLeast"/>
          <w:jc w:val="center"/>
        </w:trPr>
        <w:tc>
          <w:tcPr>
            <w:tcW w:w="9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7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38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660" w:hRule="atLeast"/>
          <w:jc w:val="center"/>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8"/>
                <w:lang w:val="en-US" w:eastAsia="zh-CN" w:bidi="ar"/>
              </w:rPr>
              <w:t>绩效指标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22"/>
                <w:lang w:val="en-US" w:eastAsia="zh-CN" w:bidi="ar"/>
              </w:rPr>
              <w:t>指标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22"/>
                <w:lang w:val="en-US" w:eastAsia="zh-CN" w:bidi="ar"/>
              </w:rPr>
              <w:t>指标权重</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22"/>
                <w:lang w:val="en-US" w:eastAsia="zh-CN" w:bidi="ar"/>
              </w:rPr>
              <w:t>计量单位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22"/>
                <w:lang w:val="en-US" w:eastAsia="zh-CN" w:bidi="ar"/>
              </w:rPr>
              <w:t>指标性质</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22"/>
                <w:lang w:val="en-US" w:eastAsia="zh-CN" w:bidi="ar"/>
              </w:rPr>
              <w:t>指标值</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22"/>
                <w:lang w:val="en-US" w:eastAsia="zh-CN" w:bidi="ar"/>
              </w:rPr>
              <w:t>实际完成指标值</w:t>
            </w: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22"/>
                <w:lang w:val="en-US" w:eastAsia="zh-CN" w:bidi="ar"/>
              </w:rPr>
              <w:t>未完成原因和改进措施</w:t>
            </w:r>
            <w:r>
              <w:rPr>
                <w:rStyle w:val="23"/>
                <w:rFonts w:eastAsia="宋体"/>
                <w:lang w:val="en-US" w:eastAsia="zh-CN" w:bidi="ar"/>
              </w:rPr>
              <w:t xml:space="preserve"> </w:t>
            </w:r>
          </w:p>
        </w:tc>
      </w:tr>
      <w:tr>
        <w:tblPrEx>
          <w:tblCellMar>
            <w:top w:w="0" w:type="dxa"/>
            <w:left w:w="0" w:type="dxa"/>
            <w:bottom w:w="0" w:type="dxa"/>
            <w:right w:w="0" w:type="dxa"/>
          </w:tblCellMar>
        </w:tblPrEx>
        <w:trPr>
          <w:trHeight w:val="54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22"/>
                <w:lang w:val="en-US" w:eastAsia="zh-CN" w:bidi="ar"/>
              </w:rPr>
              <w:t>地区生产总值增长率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6.6</w:t>
            </w: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92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22"/>
                <w:lang w:val="en-US" w:eastAsia="zh-CN" w:bidi="ar"/>
              </w:rPr>
              <w:t>社会固定资产投资增长率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w:t>
            </w: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58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22"/>
                <w:lang w:val="en-US" w:eastAsia="zh-CN" w:bidi="ar"/>
              </w:rPr>
              <w:t>敬老院入住率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70</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75</w:t>
            </w: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84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22"/>
                <w:lang w:val="en-US" w:eastAsia="zh-CN" w:bidi="ar"/>
              </w:rPr>
              <w:t>社会消费品零售总额增长率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9.4</w:t>
            </w: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63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22"/>
                <w:lang w:val="en-US" w:eastAsia="zh-CN" w:bidi="ar"/>
              </w:rPr>
              <w:t>农村居民收入增长率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5.4</w:t>
            </w: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bl>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根据预算绩效管理要求，我单位对</w:t>
      </w:r>
      <w:r>
        <w:rPr>
          <w:rFonts w:hint="default" w:ascii="Times New Roman" w:hAnsi="Times New Roman" w:eastAsia="方正仿宋_GBK" w:cs="Times New Roman"/>
          <w:sz w:val="32"/>
          <w:szCs w:val="32"/>
          <w:shd w:val="clear" w:color="auto" w:fill="FFFFFF"/>
          <w:lang w:val="en-US" w:eastAsia="zh-CN"/>
        </w:rPr>
        <w:t>死亡抚恤、伤残抚恤、义务兵优待、自然灾害救灾资金等21</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655.99</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jc w:val="center"/>
        <w:textAlignment w:val="auto"/>
        <w:rPr>
          <w:rFonts w:hint="default" w:ascii="Times New Roman" w:hAnsi="Times New Roman" w:eastAsia="方正仿宋_GBK" w:cs="Times New Roman"/>
          <w:b/>
          <w:bCs/>
          <w:sz w:val="32"/>
          <w:szCs w:val="32"/>
          <w:shd w:val="clear" w:color="auto" w:fill="FFFFFF"/>
          <w:lang w:eastAsia="zh-CN"/>
        </w:rPr>
      </w:pPr>
      <w:r>
        <w:rPr>
          <w:rFonts w:hint="default" w:ascii="Times New Roman" w:hAnsi="Times New Roman" w:eastAsia="方正仿宋_GBK" w:cs="Times New Roman"/>
          <w:b/>
          <w:bCs/>
          <w:sz w:val="28"/>
          <w:szCs w:val="28"/>
          <w:shd w:val="clear" w:color="auto" w:fill="FFFFFF"/>
        </w:rPr>
        <w:t>项目支出绩效自评表（</w:t>
      </w:r>
      <w:r>
        <w:rPr>
          <w:rFonts w:hint="default" w:ascii="Times New Roman" w:hAnsi="Times New Roman" w:eastAsia="方正仿宋_GBK" w:cs="Times New Roman"/>
          <w:b/>
          <w:bCs/>
          <w:sz w:val="28"/>
          <w:szCs w:val="28"/>
          <w:shd w:val="clear" w:color="auto" w:fill="FFFFFF"/>
          <w:lang w:val="en-US" w:eastAsia="zh-CN"/>
        </w:rPr>
        <w:t>二</w:t>
      </w:r>
      <w:r>
        <w:rPr>
          <w:rFonts w:hint="default" w:ascii="Times New Roman" w:hAnsi="Times New Roman" w:eastAsia="方正仿宋_GBK" w:cs="Times New Roman"/>
          <w:b/>
          <w:bCs/>
          <w:sz w:val="28"/>
          <w:szCs w:val="28"/>
          <w:shd w:val="clear" w:color="auto" w:fill="FFFFFF"/>
        </w:rPr>
        <w:t>级项目）</w:t>
      </w:r>
    </w:p>
    <w:tbl>
      <w:tblPr>
        <w:tblStyle w:val="7"/>
        <w:tblW w:w="8842" w:type="dxa"/>
        <w:tblInd w:w="0" w:type="dxa"/>
        <w:shd w:val="clear" w:color="auto" w:fill="auto"/>
        <w:tblLayout w:type="fixed"/>
        <w:tblCellMar>
          <w:top w:w="0" w:type="dxa"/>
          <w:left w:w="0" w:type="dxa"/>
          <w:bottom w:w="0" w:type="dxa"/>
          <w:right w:w="0" w:type="dxa"/>
        </w:tblCellMar>
      </w:tblPr>
      <w:tblGrid>
        <w:gridCol w:w="1322"/>
        <w:gridCol w:w="651"/>
        <w:gridCol w:w="615"/>
        <w:gridCol w:w="689"/>
        <w:gridCol w:w="825"/>
        <w:gridCol w:w="765"/>
        <w:gridCol w:w="645"/>
        <w:gridCol w:w="630"/>
        <w:gridCol w:w="615"/>
        <w:gridCol w:w="735"/>
        <w:gridCol w:w="1350"/>
      </w:tblGrid>
      <w:tr>
        <w:tblPrEx>
          <w:shd w:val="clear" w:color="auto" w:fill="auto"/>
          <w:tblCellMar>
            <w:top w:w="0" w:type="dxa"/>
            <w:left w:w="0" w:type="dxa"/>
            <w:bottom w:w="0" w:type="dxa"/>
            <w:right w:w="0" w:type="dxa"/>
          </w:tblCellMar>
        </w:tblPrEx>
        <w:trPr>
          <w:trHeight w:val="585" w:hRule="atLeast"/>
        </w:trPr>
        <w:tc>
          <w:tcPr>
            <w:tcW w:w="88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shd w:val="clear" w:color="auto" w:fill="auto"/>
          <w:tblCellMar>
            <w:top w:w="0" w:type="dxa"/>
            <w:left w:w="0" w:type="dxa"/>
            <w:bottom w:w="0" w:type="dxa"/>
            <w:right w:w="0" w:type="dxa"/>
          </w:tblCellMar>
        </w:tblPrEx>
        <w:trPr>
          <w:trHeight w:val="380" w:hRule="atLeast"/>
        </w:trPr>
        <w:tc>
          <w:tcPr>
            <w:tcW w:w="88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状态：已送审</w:t>
            </w:r>
          </w:p>
        </w:tc>
      </w:tr>
      <w:tr>
        <w:tblPrEx>
          <w:tblCellMar>
            <w:top w:w="0" w:type="dxa"/>
            <w:left w:w="0" w:type="dxa"/>
            <w:bottom w:w="0" w:type="dxa"/>
            <w:right w:w="0" w:type="dxa"/>
          </w:tblCellMar>
        </w:tblPrEx>
        <w:trPr>
          <w:trHeight w:val="740"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死亡抚恤</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50023322T000000055500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40"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829-忠县兴峰乡人民政府</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016-基层财政科</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蒋大法</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13996502249</w:t>
            </w:r>
          </w:p>
        </w:tc>
      </w:tr>
      <w:tr>
        <w:tblPrEx>
          <w:shd w:val="clear" w:color="auto" w:fill="auto"/>
          <w:tblCellMar>
            <w:top w:w="0" w:type="dxa"/>
            <w:left w:w="0" w:type="dxa"/>
            <w:bottom w:w="0" w:type="dxa"/>
            <w:right w:w="0" w:type="dxa"/>
          </w:tblCellMar>
        </w:tblPrEx>
        <w:trPr>
          <w:trHeight w:val="740" w:hRule="atLeast"/>
        </w:trPr>
        <w:tc>
          <w:tcPr>
            <w:tcW w:w="88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shd w:val="clear" w:color="auto" w:fill="auto"/>
          <w:tblCellMar>
            <w:top w:w="0" w:type="dxa"/>
            <w:left w:w="0" w:type="dxa"/>
            <w:bottom w:w="0" w:type="dxa"/>
            <w:right w:w="0" w:type="dxa"/>
          </w:tblCellMar>
        </w:tblPrEx>
        <w:trPr>
          <w:trHeight w:val="740" w:hRule="atLeast"/>
        </w:trPr>
        <w:tc>
          <w:tcPr>
            <w:tcW w:w="19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shd w:val="clear" w:color="auto" w:fill="auto"/>
          <w:tblCellMar>
            <w:top w:w="0" w:type="dxa"/>
            <w:left w:w="0" w:type="dxa"/>
            <w:bottom w:w="0" w:type="dxa"/>
            <w:right w:w="0" w:type="dxa"/>
          </w:tblCellMar>
        </w:tblPrEx>
        <w:trPr>
          <w:trHeight w:val="740" w:hRule="atLeast"/>
        </w:trPr>
        <w:tc>
          <w:tcPr>
            <w:tcW w:w="13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65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0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36,300.00</w:t>
            </w:r>
          </w:p>
        </w:tc>
        <w:tc>
          <w:tcPr>
            <w:tcW w:w="159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80,925.00</w:t>
            </w:r>
          </w:p>
        </w:tc>
        <w:tc>
          <w:tcPr>
            <w:tcW w:w="127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80,925.00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40" w:hRule="atLeast"/>
        </w:trPr>
        <w:tc>
          <w:tcPr>
            <w:tcW w:w="13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65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0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36,300.00</w:t>
            </w:r>
          </w:p>
        </w:tc>
        <w:tc>
          <w:tcPr>
            <w:tcW w:w="159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80,925.00</w:t>
            </w:r>
          </w:p>
        </w:tc>
        <w:tc>
          <w:tcPr>
            <w:tcW w:w="127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80,925.00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740" w:hRule="atLeast"/>
        </w:trPr>
        <w:tc>
          <w:tcPr>
            <w:tcW w:w="13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65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0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36,300.00</w:t>
            </w:r>
          </w:p>
        </w:tc>
        <w:tc>
          <w:tcPr>
            <w:tcW w:w="159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80,925.00</w:t>
            </w:r>
          </w:p>
        </w:tc>
        <w:tc>
          <w:tcPr>
            <w:tcW w:w="127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80,925.00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40" w:hRule="atLeast"/>
        </w:trPr>
        <w:tc>
          <w:tcPr>
            <w:tcW w:w="88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shd w:val="clear" w:color="auto" w:fill="auto"/>
          <w:tblCellMar>
            <w:top w:w="0" w:type="dxa"/>
            <w:left w:w="0" w:type="dxa"/>
            <w:bottom w:w="0" w:type="dxa"/>
            <w:right w:w="0" w:type="dxa"/>
          </w:tblCellMar>
        </w:tblPrEx>
        <w:trPr>
          <w:trHeight w:val="740" w:hRule="atLeast"/>
        </w:trPr>
        <w:tc>
          <w:tcPr>
            <w:tcW w:w="32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28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shd w:val="clear" w:color="auto" w:fill="auto"/>
          <w:tblCellMar>
            <w:top w:w="0" w:type="dxa"/>
            <w:left w:w="0" w:type="dxa"/>
            <w:bottom w:w="0" w:type="dxa"/>
            <w:right w:w="0" w:type="dxa"/>
          </w:tblCellMar>
        </w:tblPrEx>
        <w:trPr>
          <w:trHeight w:val="1760" w:hRule="atLeast"/>
        </w:trPr>
        <w:tc>
          <w:tcPr>
            <w:tcW w:w="32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根据相关政策规定的民政优抚发放标准，及时发放本辖区内符合条件的死亡对象的死亡抚恤金，提供社会保障。</w:t>
            </w:r>
          </w:p>
        </w:tc>
        <w:tc>
          <w:tcPr>
            <w:tcW w:w="28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年中预算调整时，因死亡抚恤人员增加导致预算增加，导致全年完成值大于年初设置指标值。根据相关政策规定的民政优抚发放标准，及时发放本辖区内符合条件的死亡对象的死亡抚恤金，提供社会保障。</w:t>
            </w:r>
          </w:p>
        </w:tc>
      </w:tr>
      <w:tr>
        <w:tblPrEx>
          <w:shd w:val="clear" w:color="auto" w:fill="auto"/>
          <w:tblCellMar>
            <w:top w:w="0" w:type="dxa"/>
            <w:left w:w="0" w:type="dxa"/>
            <w:bottom w:w="0" w:type="dxa"/>
            <w:right w:w="0" w:type="dxa"/>
          </w:tblCellMar>
        </w:tblPrEx>
        <w:trPr>
          <w:trHeight w:val="740" w:hRule="atLeast"/>
        </w:trPr>
        <w:tc>
          <w:tcPr>
            <w:tcW w:w="88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shd w:val="clear" w:color="auto" w:fill="auto"/>
          <w:tblCellMar>
            <w:top w:w="0" w:type="dxa"/>
            <w:left w:w="0" w:type="dxa"/>
            <w:bottom w:w="0" w:type="dxa"/>
            <w:right w:w="0" w:type="dxa"/>
          </w:tblCellMar>
        </w:tblPrEx>
        <w:trPr>
          <w:trHeight w:val="740"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指标名称</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计量单位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指标性质</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全年完成值</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偏离度（%）</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得分系数（%）</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指标权重</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指标得分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是否核心指标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说明</w:t>
            </w:r>
          </w:p>
        </w:tc>
      </w:tr>
      <w:tr>
        <w:tblPrEx>
          <w:shd w:val="clear" w:color="auto" w:fill="auto"/>
          <w:tblCellMar>
            <w:top w:w="0" w:type="dxa"/>
            <w:left w:w="0" w:type="dxa"/>
            <w:bottom w:w="0" w:type="dxa"/>
            <w:right w:w="0" w:type="dxa"/>
          </w:tblCellMar>
        </w:tblPrEx>
        <w:trPr>
          <w:trHeight w:val="1080"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按照相关政策标准发放死亡抚恤金   </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80925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122.93</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年中预算调整时，因死亡抚恤人员增加导致预算增加，导致全年完成值大于年初设置指标值。</w:t>
            </w:r>
          </w:p>
        </w:tc>
      </w:tr>
      <w:tr>
        <w:tblPrEx>
          <w:tblCellMar>
            <w:top w:w="0" w:type="dxa"/>
            <w:left w:w="0" w:type="dxa"/>
            <w:bottom w:w="0" w:type="dxa"/>
            <w:right w:w="0" w:type="dxa"/>
          </w:tblCellMar>
        </w:tblPrEx>
        <w:trPr>
          <w:trHeight w:val="1080"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及时发放本辖区内死亡抚恤金</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80"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为本辖区内符合政策规定的死亡人员发放抚恤金  </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好坏</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73"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为死亡抚恤补助对象提供社会保障</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好坏</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80"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死亡抚恤补对象对政策执行情况的满意度</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240" w:lineRule="auto"/>
        <w:textAlignment w:val="auto"/>
        <w:rPr>
          <w:rFonts w:hint="default" w:ascii="Times New Roman" w:hAnsi="Times New Roman" w:eastAsia="方正仿宋_GBK" w:cs="Times New Roman"/>
          <w:sz w:val="32"/>
          <w:szCs w:val="32"/>
          <w:shd w:val="clear" w:color="auto" w:fill="FFFFFF"/>
          <w:lang w:eastAsia="zh-CN"/>
        </w:rPr>
      </w:pPr>
    </w:p>
    <w:tbl>
      <w:tblPr>
        <w:tblStyle w:val="7"/>
        <w:tblW w:w="8842" w:type="dxa"/>
        <w:tblInd w:w="0" w:type="dxa"/>
        <w:shd w:val="clear" w:color="auto" w:fill="auto"/>
        <w:tblLayout w:type="fixed"/>
        <w:tblCellMar>
          <w:top w:w="0" w:type="dxa"/>
          <w:left w:w="0" w:type="dxa"/>
          <w:bottom w:w="0" w:type="dxa"/>
          <w:right w:w="0" w:type="dxa"/>
        </w:tblCellMar>
      </w:tblPr>
      <w:tblGrid>
        <w:gridCol w:w="1167"/>
        <w:gridCol w:w="513"/>
        <w:gridCol w:w="653"/>
        <w:gridCol w:w="763"/>
        <w:gridCol w:w="736"/>
        <w:gridCol w:w="840"/>
        <w:gridCol w:w="720"/>
        <w:gridCol w:w="705"/>
        <w:gridCol w:w="705"/>
        <w:gridCol w:w="720"/>
        <w:gridCol w:w="1320"/>
      </w:tblGrid>
      <w:tr>
        <w:tblPrEx>
          <w:shd w:val="clear" w:color="auto" w:fill="auto"/>
          <w:tblCellMar>
            <w:top w:w="0" w:type="dxa"/>
            <w:left w:w="0" w:type="dxa"/>
            <w:bottom w:w="0" w:type="dxa"/>
            <w:right w:w="0" w:type="dxa"/>
          </w:tblCellMar>
        </w:tblPrEx>
        <w:trPr>
          <w:trHeight w:val="1000" w:hRule="atLeast"/>
        </w:trPr>
        <w:tc>
          <w:tcPr>
            <w:tcW w:w="88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shd w:val="clear" w:color="auto" w:fill="auto"/>
          <w:tblCellMar>
            <w:top w:w="0" w:type="dxa"/>
            <w:left w:w="0" w:type="dxa"/>
            <w:bottom w:w="0" w:type="dxa"/>
            <w:right w:w="0" w:type="dxa"/>
          </w:tblCellMar>
        </w:tblPrEx>
        <w:trPr>
          <w:trHeight w:val="500" w:hRule="atLeast"/>
        </w:trPr>
        <w:tc>
          <w:tcPr>
            <w:tcW w:w="88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状态：已送审</w:t>
            </w:r>
          </w:p>
        </w:tc>
      </w:tr>
      <w:tr>
        <w:tblPrEx>
          <w:shd w:val="clear" w:color="auto" w:fill="auto"/>
          <w:tblCellMar>
            <w:top w:w="0" w:type="dxa"/>
            <w:left w:w="0" w:type="dxa"/>
            <w:bottom w:w="0" w:type="dxa"/>
            <w:right w:w="0" w:type="dxa"/>
          </w:tblCellMar>
        </w:tblPrEx>
        <w:trPr>
          <w:trHeight w:val="50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伤残抚恤</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50023322T000000055503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829-忠县兴峰乡人民政府</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016-基层财政科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蒋大法</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13996502249</w:t>
            </w:r>
          </w:p>
        </w:tc>
      </w:tr>
      <w:tr>
        <w:tblPrEx>
          <w:shd w:val="clear" w:color="auto" w:fill="auto"/>
          <w:tblCellMar>
            <w:top w:w="0" w:type="dxa"/>
            <w:left w:w="0" w:type="dxa"/>
            <w:bottom w:w="0" w:type="dxa"/>
            <w:right w:w="0" w:type="dxa"/>
          </w:tblCellMar>
        </w:tblPrEx>
        <w:trPr>
          <w:trHeight w:val="600" w:hRule="atLeast"/>
        </w:trPr>
        <w:tc>
          <w:tcPr>
            <w:tcW w:w="88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shd w:val="clear" w:color="auto" w:fill="auto"/>
          <w:tblCellMar>
            <w:top w:w="0" w:type="dxa"/>
            <w:left w:w="0" w:type="dxa"/>
            <w:bottom w:w="0" w:type="dxa"/>
            <w:right w:w="0" w:type="dxa"/>
          </w:tblCellMar>
        </w:tblPrEx>
        <w:trPr>
          <w:trHeight w:val="50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shd w:val="clear" w:color="auto" w:fill="auto"/>
          <w:tblCellMar>
            <w:top w:w="0" w:type="dxa"/>
            <w:left w:w="0" w:type="dxa"/>
            <w:bottom w:w="0" w:type="dxa"/>
            <w:right w:w="0" w:type="dxa"/>
          </w:tblCellMar>
        </w:tblPrEx>
        <w:trPr>
          <w:trHeight w:val="500" w:hRule="atLeast"/>
        </w:trPr>
        <w:tc>
          <w:tcPr>
            <w:tcW w:w="116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51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30,226.00 </w:t>
            </w:r>
          </w:p>
        </w:tc>
        <w:tc>
          <w:tcPr>
            <w:tcW w:w="157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44,296.00 </w:t>
            </w:r>
          </w:p>
        </w:tc>
        <w:tc>
          <w:tcPr>
            <w:tcW w:w="142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44,296.00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116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51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30,226.00 </w:t>
            </w:r>
          </w:p>
        </w:tc>
        <w:tc>
          <w:tcPr>
            <w:tcW w:w="157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44,296.00 </w:t>
            </w:r>
          </w:p>
        </w:tc>
        <w:tc>
          <w:tcPr>
            <w:tcW w:w="142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44,296.00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shd w:val="clear" w:color="auto" w:fill="auto"/>
          <w:tblCellMar>
            <w:top w:w="0" w:type="dxa"/>
            <w:left w:w="0" w:type="dxa"/>
            <w:bottom w:w="0" w:type="dxa"/>
            <w:right w:w="0" w:type="dxa"/>
          </w:tblCellMar>
        </w:tblPrEx>
        <w:trPr>
          <w:trHeight w:val="500" w:hRule="atLeast"/>
        </w:trPr>
        <w:tc>
          <w:tcPr>
            <w:tcW w:w="116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51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30,226.00 </w:t>
            </w:r>
          </w:p>
        </w:tc>
        <w:tc>
          <w:tcPr>
            <w:tcW w:w="157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44,296.00 </w:t>
            </w:r>
          </w:p>
        </w:tc>
        <w:tc>
          <w:tcPr>
            <w:tcW w:w="142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44,296.00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00" w:hRule="atLeast"/>
        </w:trPr>
        <w:tc>
          <w:tcPr>
            <w:tcW w:w="88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shd w:val="clear" w:color="auto" w:fill="auto"/>
          <w:tblCellMar>
            <w:top w:w="0" w:type="dxa"/>
            <w:left w:w="0" w:type="dxa"/>
            <w:bottom w:w="0" w:type="dxa"/>
            <w:right w:w="0" w:type="dxa"/>
          </w:tblCellMar>
        </w:tblPrEx>
        <w:trPr>
          <w:trHeight w:val="500" w:hRule="atLeast"/>
        </w:trPr>
        <w:tc>
          <w:tcPr>
            <w:tcW w:w="309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30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shd w:val="clear" w:color="auto" w:fill="auto"/>
          <w:tblCellMar>
            <w:top w:w="0" w:type="dxa"/>
            <w:left w:w="0" w:type="dxa"/>
            <w:bottom w:w="0" w:type="dxa"/>
            <w:right w:w="0" w:type="dxa"/>
          </w:tblCellMar>
        </w:tblPrEx>
        <w:trPr>
          <w:trHeight w:val="1600" w:hRule="atLeast"/>
        </w:trPr>
        <w:tc>
          <w:tcPr>
            <w:tcW w:w="309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根据相关政策规定的民政优抚发放标准，及时发放本辖区内符合条件的伤残对象的伤残抚恤金，提供社会保障。</w:t>
            </w:r>
          </w:p>
        </w:tc>
        <w:tc>
          <w:tcPr>
            <w:tcW w:w="30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年中调整预算时，伤残抚恤人数增加导致预算增加，导致全年完成值大于年初设置标准值。根据相关政策规定的民政优抚发放标准，及时发放本辖区内符合条件的伤残对象的伤残抚恤金，提供社会保障。</w:t>
            </w:r>
          </w:p>
        </w:tc>
      </w:tr>
      <w:tr>
        <w:tblPrEx>
          <w:shd w:val="clear" w:color="auto" w:fill="auto"/>
          <w:tblCellMar>
            <w:top w:w="0" w:type="dxa"/>
            <w:left w:w="0" w:type="dxa"/>
            <w:bottom w:w="0" w:type="dxa"/>
            <w:right w:w="0" w:type="dxa"/>
          </w:tblCellMar>
        </w:tblPrEx>
        <w:trPr>
          <w:trHeight w:val="600" w:hRule="atLeast"/>
        </w:trPr>
        <w:tc>
          <w:tcPr>
            <w:tcW w:w="88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shd w:val="clear" w:color="auto" w:fill="auto"/>
          <w:tblCellMar>
            <w:top w:w="0" w:type="dxa"/>
            <w:left w:w="0" w:type="dxa"/>
            <w:bottom w:w="0" w:type="dxa"/>
            <w:right w:w="0" w:type="dxa"/>
          </w:tblCellMar>
        </w:tblPrEx>
        <w:trPr>
          <w:trHeight w:val="50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shd w:val="clear" w:color="auto" w:fill="auto"/>
          <w:tblCellMar>
            <w:top w:w="0" w:type="dxa"/>
            <w:left w:w="0" w:type="dxa"/>
            <w:bottom w:w="0" w:type="dxa"/>
            <w:right w:w="0" w:type="dxa"/>
          </w:tblCellMar>
        </w:tblPrEx>
        <w:trPr>
          <w:trHeight w:val="96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按照相关政策标准发放伤残抚恤金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44296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46.55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年中调整预算时，伤残抚恤人数增加导致预算增加，导致全年完成值大于年初设置标准值。</w:t>
            </w:r>
          </w:p>
        </w:tc>
      </w:tr>
      <w:tr>
        <w:tblPrEx>
          <w:shd w:val="clear" w:color="auto" w:fill="auto"/>
          <w:tblCellMar>
            <w:top w:w="0" w:type="dxa"/>
            <w:left w:w="0" w:type="dxa"/>
            <w:bottom w:w="0" w:type="dxa"/>
            <w:right w:w="0" w:type="dxa"/>
          </w:tblCellMar>
        </w:tblPrEx>
        <w:trPr>
          <w:trHeight w:val="96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及时发放本辖区内伤残抚恤金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6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为本辖区内符合政策规定的伤残人员发放抚恤金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6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为伤残抚恤补助对象提供社会保障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6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伤残抚恤补助对象对政策执行情况的满意度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240" w:lineRule="auto"/>
        <w:textAlignment w:val="auto"/>
        <w:rPr>
          <w:rFonts w:hint="default" w:ascii="Times New Roman" w:hAnsi="Times New Roman" w:eastAsia="方正仿宋_GBK" w:cs="Times New Roman"/>
          <w:sz w:val="32"/>
          <w:szCs w:val="32"/>
          <w:shd w:val="clear" w:color="auto" w:fill="FFFFFF"/>
          <w:lang w:eastAsia="zh-CN"/>
        </w:rPr>
      </w:pP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pPr>
        <w:pStyle w:val="14"/>
        <w:autoSpaceDE w:val="0"/>
        <w:ind w:firstLine="960" w:firstLineChars="3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pPr>
        <w:pStyle w:val="14"/>
        <w:autoSpaceDE w:val="0"/>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市财政局未委托第三方对我单位开展绩效评价。</w:t>
      </w:r>
    </w:p>
    <w:p>
      <w:pPr>
        <w:pStyle w:val="14"/>
        <w:autoSpaceDE w:val="0"/>
        <w:ind w:firstLine="640"/>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六、专业名词解释</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w:t>
      </w:r>
      <w:r>
        <w:rPr>
          <w:rStyle w:val="10"/>
          <w:rFonts w:hint="default" w:ascii="Times New Roman" w:hAnsi="Times New Roman" w:eastAsia="黑体" w:cs="Times New Roman"/>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val="en-US" w:eastAsia="zh-CN"/>
        </w:rPr>
        <w:t>023-54569008</w:t>
      </w:r>
    </w:p>
    <w:p>
      <w:pPr>
        <w:pStyle w:val="11"/>
        <w:autoSpaceDE w:val="0"/>
        <w:ind w:firstLine="0" w:firstLineChars="0"/>
        <w:rPr>
          <w:rStyle w:val="10"/>
          <w:rFonts w:hint="default" w:ascii="Times New Roman" w:hAnsi="Times New Roman" w:eastAsia="方正仿宋_GBK" w:cs="Times New Roman"/>
          <w:sz w:val="32"/>
          <w:szCs w:val="32"/>
          <w:shd w:val="clear" w:color="auto" w:fill="FFFF00"/>
        </w:rPr>
        <w:sectPr>
          <w:footerReference r:id="rId3" w:type="default"/>
          <w:pgSz w:w="11915" w:h="16840"/>
          <w:pgMar w:top="2098" w:right="1474" w:bottom="1984" w:left="1587" w:header="851" w:footer="992" w:gutter="0"/>
          <w:pgNumType w:fmt="numberInDash"/>
          <w:cols w:space="0" w:num="1"/>
          <w:rtlGutter w:val="0"/>
          <w:docGrid w:type="lines" w:linePitch="327" w:charSpace="0"/>
        </w:sectPr>
      </w:pPr>
    </w:p>
    <w:p>
      <w:pPr>
        <w:rPr>
          <w:rFonts w:hint="default" w:ascii="Times New Roman" w:hAnsi="Times New Roman" w:cs="Times New Roman"/>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重庆市忠县兴峰乡人民政府（本级）</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1,255.68</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495.00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317.08</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21.36</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86.67</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191.76</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35.52</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106.89</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1,255.68</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1,255.68</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1,255.68</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1,255.68</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重庆市忠县兴峰乡人民政府（本级）</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1,255.68</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1,255.68</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495.00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495.00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495.00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495.00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461.43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461.43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其他政府办公厅（室）及相关机构事务支出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33.57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33.57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317.08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317.08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82.98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82.98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40.86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40.86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21.70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21.70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88.03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88.03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死亡抚恤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伤残抚恤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在乡复员、退伍军人生活补助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57.27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57.27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义务兵优待</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农村籍退役士兵老年生活补助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10.50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10.50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其他优抚支出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20.60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20.60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儿童福利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老年福利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社会福利事业单位</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9.75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9.75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16.37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16.37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残疾人生活和护理补贴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16.37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16.37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96.77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96.77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城市特困人员救助供养支出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43.35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43.35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53.42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53.42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其他生活救助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12.33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12.33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其他农村生活救助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12.33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12.33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16.76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16.76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86.67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86.67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污染防治</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86.67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86.67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2110301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大气</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86.67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86.67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191.76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191.76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w:t>
            </w:r>
            <w:r>
              <w:rPr>
                <w:rFonts w:hint="eastAsia" w:ascii="Times New Roman" w:hAnsi="Times New Roman" w:cs="Times New Roman"/>
                <w:b/>
                <w:color w:val="000000"/>
                <w:sz w:val="20"/>
                <w:szCs w:val="20"/>
                <w:lang w:eastAsia="zh-CN"/>
              </w:rPr>
              <w:t>拓展</w:t>
            </w:r>
            <w:r>
              <w:rPr>
                <w:rFonts w:hint="default" w:ascii="Times New Roman" w:hAnsi="Times New Roman" w:cs="Times New Roman"/>
                <w:b/>
                <w:color w:val="000000"/>
                <w:sz w:val="20"/>
                <w:szCs w:val="20"/>
              </w:rPr>
              <w:t>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w:t>
            </w:r>
            <w:r>
              <w:rPr>
                <w:rFonts w:hint="eastAsia" w:ascii="Times New Roman" w:hAnsi="Times New Roman" w:cs="Times New Roman"/>
                <w:color w:val="000000"/>
                <w:sz w:val="20"/>
                <w:szCs w:val="20"/>
                <w:lang w:eastAsia="zh-CN"/>
              </w:rPr>
              <w:t>拓展</w:t>
            </w:r>
            <w:r>
              <w:rPr>
                <w:rFonts w:hint="default" w:ascii="Times New Roman" w:hAnsi="Times New Roman" w:cs="Times New Roman"/>
                <w:color w:val="000000"/>
                <w:sz w:val="20"/>
                <w:szCs w:val="20"/>
              </w:rPr>
              <w:t>脱贫攻坚成果衔接乡村振兴支出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189.76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189.76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24.91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24.91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164.85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164.85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35.52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35.52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35.52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35.52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35.52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35.52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106.89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106.89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51.39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51.39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应急救援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15.80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15.80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35.59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35.59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55.50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55.50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55.50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55.50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重庆市忠县兴峰乡人民政府（本级）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1,255.68</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602.69</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652.99</w:t>
            </w: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495.00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461.43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33.57</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495.00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461.43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33.57</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461.43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461.43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其他政府办公厅（室）及相关机构事务支出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33.57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33.57</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317.08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82.98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234.10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82.98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82.98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40.86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40.86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21.70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21.70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88.03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88.03</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死亡抚恤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8.09</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伤残抚恤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4.43</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在乡复员、退伍军人生活补助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57.27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57.27</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义务兵优待</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7.35</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农村籍退役士兵老年生活补助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10.50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10.50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其他优抚支出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0.39</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20.60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20.60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儿童福利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7.29</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老年福利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3.56</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社会福利事业单位</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9.75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9.75</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16.37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16.37</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残疾人生活和护理补贴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16.37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16.37</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96.77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96.77</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城市特困人员救助供养支出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43.35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43.35</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53.42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53.42</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其他生活救助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12.33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12.33</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其他农村生活救助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12.33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12.33</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16.76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16.76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86.67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86.67</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污染防治</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86.67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86.67</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2110301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大气</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86.67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86.67</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191.76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191.76</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w:t>
            </w:r>
            <w:r>
              <w:rPr>
                <w:rFonts w:hint="eastAsia" w:ascii="Times New Roman" w:hAnsi="Times New Roman" w:cs="Times New Roman"/>
                <w:b/>
                <w:color w:val="000000"/>
                <w:sz w:val="20"/>
                <w:szCs w:val="20"/>
                <w:lang w:eastAsia="zh-CN"/>
              </w:rPr>
              <w:t>拓展</w:t>
            </w:r>
            <w:r>
              <w:rPr>
                <w:rFonts w:hint="default" w:ascii="Times New Roman" w:hAnsi="Times New Roman" w:cs="Times New Roman"/>
                <w:b/>
                <w:color w:val="000000"/>
                <w:sz w:val="20"/>
                <w:szCs w:val="20"/>
              </w:rPr>
              <w:t>脱贫攻坚成果衔接乡村振兴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w:t>
            </w:r>
            <w:r>
              <w:rPr>
                <w:rFonts w:hint="eastAsia" w:ascii="Times New Roman" w:hAnsi="Times New Roman" w:cs="Times New Roman"/>
                <w:color w:val="000000"/>
                <w:sz w:val="20"/>
                <w:szCs w:val="20"/>
                <w:lang w:eastAsia="zh-CN"/>
              </w:rPr>
              <w:t>拓展</w:t>
            </w:r>
            <w:r>
              <w:rPr>
                <w:rFonts w:hint="default" w:ascii="Times New Roman" w:hAnsi="Times New Roman" w:cs="Times New Roman"/>
                <w:color w:val="000000"/>
                <w:sz w:val="20"/>
                <w:szCs w:val="20"/>
              </w:rPr>
              <w:t>脱贫攻坚成果衔接乡村振兴支出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189.76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189.76</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24.91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24.91</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164.85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164.85</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35.52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35.52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35.52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35.52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35.52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35.52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106.89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106.89</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51.39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51.39</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应急救援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15.80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15.80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35.59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35.59</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55.50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55.50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55.50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55.50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重庆市忠县兴峰乡人民政府（本级）</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1,255.68</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495.00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495.00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317.08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317.08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21.36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21.36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86.67</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86.67</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191.76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191.76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35.52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35.52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106.89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106.89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1,255.68</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1,255.68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1,255.68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1,255.68</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1,255.68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1,255.68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重庆市忠县兴峰乡人民政府（本级）</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1,255.68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602.69</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652.99</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495.00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461.43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33.57</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495.00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461.43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33.57</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461.43</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461.43</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其他政府办公厅（室）及相关机构事务支出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33.57</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33.57</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317.08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82.98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234.10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82.98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82.98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40.86</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40.86</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20.43</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20.43</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21.70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21.70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88.03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88.03</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死亡抚恤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8.09</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8.09</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伤残抚恤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4.43</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4.43</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在乡复员、退伍军人生活补助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57.27</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57.27</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义务兵优待</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7.35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7.35</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农村籍退役士兵老年生活补助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10.50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10.50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其他优抚支出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0.39</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0.39</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20.60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20.60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儿童福利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7.29</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7.29</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老年福利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3.56</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3.56</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社会福利事业单位</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9.75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9.75</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16.37</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16.37</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残疾人生活和护理补贴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16.37</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16.37</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96.77</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96.77</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城市特困人员救助供养支出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43.35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43.35</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53.42</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53.42</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其他生活救助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12.33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12.33</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其他农村生活救助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12.33</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12.33</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21.36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21.36</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21.36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21.36</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16.76</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16.76</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86.67</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86.67</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污染防治</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86.67</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86.67</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2110301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大气</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86.67</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86.67</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191.76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191.76</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w:t>
            </w:r>
            <w:r>
              <w:rPr>
                <w:rFonts w:hint="eastAsia" w:ascii="Times New Roman" w:hAnsi="Times New Roman" w:cs="Times New Roman"/>
                <w:b/>
                <w:color w:val="000000"/>
                <w:sz w:val="20"/>
                <w:szCs w:val="20"/>
                <w:lang w:eastAsia="zh-CN"/>
              </w:rPr>
              <w:t>拓展</w:t>
            </w:r>
            <w:r>
              <w:rPr>
                <w:rFonts w:hint="default" w:ascii="Times New Roman" w:hAnsi="Times New Roman" w:cs="Times New Roman"/>
                <w:b/>
                <w:color w:val="000000"/>
                <w:sz w:val="20"/>
                <w:szCs w:val="20"/>
              </w:rPr>
              <w:t>脱贫攻坚成果衔接乡村振兴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w:t>
            </w:r>
            <w:r>
              <w:rPr>
                <w:rFonts w:hint="eastAsia" w:ascii="Times New Roman" w:hAnsi="Times New Roman" w:cs="Times New Roman"/>
                <w:color w:val="000000"/>
                <w:sz w:val="20"/>
                <w:szCs w:val="20"/>
                <w:lang w:eastAsia="zh-CN"/>
              </w:rPr>
              <w:t>拓展</w:t>
            </w:r>
            <w:r>
              <w:rPr>
                <w:rFonts w:hint="default" w:ascii="Times New Roman" w:hAnsi="Times New Roman" w:cs="Times New Roman"/>
                <w:color w:val="000000"/>
                <w:sz w:val="20"/>
                <w:szCs w:val="20"/>
              </w:rPr>
              <w:t>脱贫攻坚成果衔接乡村振兴支出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189.76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189.76</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24.91</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24.91</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164.85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164.85</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35.52</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35.52</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35.52</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35.52</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35.52</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35.52</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106.89</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106.89</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51.39</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51.39</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应急救援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15.80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15.80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其他应急管理支出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35.59</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35.59</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55.50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55.50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55.50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55.50</w:t>
            </w: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重庆市忠县兴峰乡人民政府（本级）</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504.58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74.94</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93.51</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10.35</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76.88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126.50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0.87</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40.86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4.44</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20.43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8.69</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16.76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4.09</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35.52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90.42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23.17</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17.47</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0.75</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5.92</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3.27</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17.81</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11.36</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527.75</w:t>
            </w:r>
            <w:r>
              <w:rPr>
                <w:rFonts w:hint="default" w:ascii="Times New Roman" w:hAnsi="Times New Roman" w:cs="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74.94</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重庆市忠县兴峰乡人民政府（本级）</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重庆市忠县兴峰乡人民政府（本级）</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重庆市忠县兴峰乡人民政府（本级）</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74.94</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6.75</w:t>
            </w: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6.75</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74.94</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6.00</w:t>
            </w: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6.00</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3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6.00</w:t>
            </w: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6.00</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0.75</w:t>
            </w: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0.75</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0.75</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20</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120</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1.40</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w:t>
      </w:r>
      <w:bookmarkStart w:id="0" w:name="_GoBack"/>
      <w:r>
        <w:rPr>
          <w:rFonts w:hint="default" w:ascii="Times New Roman" w:hAnsi="Times New Roman" w:cs="Times New Roman"/>
          <w:sz w:val="20"/>
          <w:szCs w:val="20"/>
        </w:rPr>
        <w:t>三公</w:t>
      </w:r>
      <w:bookmarkEnd w:id="0"/>
      <w:r>
        <w:rPr>
          <w:rFonts w:hint="default" w:ascii="Times New Roman" w:hAnsi="Times New Roman" w:cs="Times New Roman"/>
          <w:sz w:val="20"/>
          <w:szCs w:val="20"/>
        </w:rPr>
        <w:t>”经费支出预决算情况。其中，预算数为“三公”经费全年预算数，反映按规定程序调整后的预算数；决算数为包括本年度财政拨款和以前年度结转资金安排的实际支出。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90203"/>
    <w:charset w:val="00"/>
    <w:family w:val="auto"/>
    <w:pitch w:val="default"/>
    <w:sig w:usb0="E10002FF" w:usb1="4000E47F" w:usb2="00000029" w:usb3="00000000" w:csb0="2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jmKK6MwIAAGcEAAAOAAAAAAAAAAEAIAAA&#10;ADUBAABkcnMvZTJvRG9jLnhtbFBLBQYAAAAABgAGAFkBAADaBQ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HgNVFTYAAAACgEAAA8AAAAA&#10;AAAAAQAgAAAAOAAAAGRycy9kb3ducmV2LnhtbFBLAQIUABQAAAAIAIdO4kACxRCNNwIAAGYEAAAO&#10;AAAAAAAAAAEAIAAAAD0BAABkcnMvZTJvRG9jLnhtbFBLBQYAAAAABgAGAFkBAADmBQ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20"/>
  <w:drawingGridVerticalSpacing w:val="164"/>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E033E"/>
    <w:rsid w:val="00F73F90"/>
    <w:rsid w:val="01474EBF"/>
    <w:rsid w:val="01F3521E"/>
    <w:rsid w:val="03B87EA0"/>
    <w:rsid w:val="03E3214F"/>
    <w:rsid w:val="044C50BA"/>
    <w:rsid w:val="05BC6D49"/>
    <w:rsid w:val="06153E17"/>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CE6D95"/>
    <w:rsid w:val="0BF2311A"/>
    <w:rsid w:val="0C7927C4"/>
    <w:rsid w:val="0C9B098C"/>
    <w:rsid w:val="0D673E11"/>
    <w:rsid w:val="0DDA54E4"/>
    <w:rsid w:val="0E3A5F83"/>
    <w:rsid w:val="0F836721"/>
    <w:rsid w:val="0FA25D96"/>
    <w:rsid w:val="107B59E5"/>
    <w:rsid w:val="10EC0126"/>
    <w:rsid w:val="10F70B9A"/>
    <w:rsid w:val="111445C7"/>
    <w:rsid w:val="114278C6"/>
    <w:rsid w:val="114F292A"/>
    <w:rsid w:val="1158083A"/>
    <w:rsid w:val="11643A4B"/>
    <w:rsid w:val="11ED0F98"/>
    <w:rsid w:val="11F03528"/>
    <w:rsid w:val="12C921C4"/>
    <w:rsid w:val="13871C70"/>
    <w:rsid w:val="13A71CB4"/>
    <w:rsid w:val="13AF1D43"/>
    <w:rsid w:val="13CE1647"/>
    <w:rsid w:val="13D77AC9"/>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3D1AB8"/>
    <w:rsid w:val="22403BD3"/>
    <w:rsid w:val="24B92327"/>
    <w:rsid w:val="24C14514"/>
    <w:rsid w:val="2533755C"/>
    <w:rsid w:val="25791755"/>
    <w:rsid w:val="26396DF4"/>
    <w:rsid w:val="27167136"/>
    <w:rsid w:val="271B442C"/>
    <w:rsid w:val="27A63C63"/>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4F5687"/>
    <w:rsid w:val="38BE4696"/>
    <w:rsid w:val="3939115E"/>
    <w:rsid w:val="39B82A39"/>
    <w:rsid w:val="39C42CA8"/>
    <w:rsid w:val="39DC4FD6"/>
    <w:rsid w:val="39F03D7A"/>
    <w:rsid w:val="39F33306"/>
    <w:rsid w:val="3A2C1C67"/>
    <w:rsid w:val="3AC87D09"/>
    <w:rsid w:val="3ADD7F09"/>
    <w:rsid w:val="3B1705E5"/>
    <w:rsid w:val="3B18334B"/>
    <w:rsid w:val="3B36794F"/>
    <w:rsid w:val="3B6F6EE0"/>
    <w:rsid w:val="3C027242"/>
    <w:rsid w:val="3C566AD6"/>
    <w:rsid w:val="3C594871"/>
    <w:rsid w:val="3C6A5B02"/>
    <w:rsid w:val="3D2757A1"/>
    <w:rsid w:val="3D3D4FC4"/>
    <w:rsid w:val="3DDF3AB1"/>
    <w:rsid w:val="3E1D0952"/>
    <w:rsid w:val="3E42660A"/>
    <w:rsid w:val="3E7555B1"/>
    <w:rsid w:val="3E787ED9"/>
    <w:rsid w:val="3F032E93"/>
    <w:rsid w:val="3F0527E5"/>
    <w:rsid w:val="3F694D83"/>
    <w:rsid w:val="3F8163D8"/>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B944819"/>
    <w:rsid w:val="4DAC4ACA"/>
    <w:rsid w:val="4DBE01D2"/>
    <w:rsid w:val="4F0C6BA3"/>
    <w:rsid w:val="4F186D58"/>
    <w:rsid w:val="50F06B6E"/>
    <w:rsid w:val="51D21804"/>
    <w:rsid w:val="51E4435F"/>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9891907"/>
    <w:rsid w:val="5A3B59D6"/>
    <w:rsid w:val="5AD134D8"/>
    <w:rsid w:val="5BC902E6"/>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6BC7D44"/>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FBDF9690"/>
    <w:rsid w:val="FFF86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font21"/>
    <w:basedOn w:val="9"/>
    <w:qFormat/>
    <w:uiPriority w:val="0"/>
    <w:rPr>
      <w:rFonts w:hint="eastAsia" w:ascii="宋体" w:hAnsi="宋体" w:eastAsia="宋体" w:cs="宋体"/>
      <w:color w:val="000000"/>
      <w:sz w:val="36"/>
      <w:szCs w:val="36"/>
      <w:u w:val="none"/>
    </w:rPr>
  </w:style>
  <w:style w:type="character" w:customStyle="1" w:styleId="17">
    <w:name w:val="font101"/>
    <w:basedOn w:val="9"/>
    <w:qFormat/>
    <w:uiPriority w:val="0"/>
    <w:rPr>
      <w:rFonts w:hint="eastAsia" w:ascii="宋体" w:hAnsi="宋体" w:eastAsia="宋体" w:cs="宋体"/>
      <w:color w:val="000000"/>
      <w:sz w:val="22"/>
      <w:szCs w:val="22"/>
      <w:u w:val="none"/>
    </w:rPr>
  </w:style>
  <w:style w:type="character" w:customStyle="1" w:styleId="18">
    <w:name w:val="font91"/>
    <w:basedOn w:val="9"/>
    <w:qFormat/>
    <w:uiPriority w:val="0"/>
    <w:rPr>
      <w:rFonts w:hint="eastAsia" w:ascii="宋体" w:hAnsi="宋体" w:eastAsia="宋体" w:cs="宋体"/>
      <w:color w:val="000000"/>
      <w:sz w:val="24"/>
      <w:szCs w:val="24"/>
      <w:u w:val="none"/>
    </w:rPr>
  </w:style>
  <w:style w:type="character" w:customStyle="1" w:styleId="19">
    <w:name w:val="font121"/>
    <w:basedOn w:val="9"/>
    <w:qFormat/>
    <w:uiPriority w:val="0"/>
    <w:rPr>
      <w:rFonts w:hint="default" w:ascii="Times New Roman" w:hAnsi="Times New Roman" w:cs="Times New Roman"/>
      <w:color w:val="000000"/>
      <w:sz w:val="24"/>
      <w:szCs w:val="24"/>
      <w:u w:val="none"/>
    </w:rPr>
  </w:style>
  <w:style w:type="character" w:customStyle="1" w:styleId="20">
    <w:name w:val="font61"/>
    <w:basedOn w:val="9"/>
    <w:qFormat/>
    <w:uiPriority w:val="0"/>
    <w:rPr>
      <w:rFonts w:hint="eastAsia" w:ascii="宋体" w:hAnsi="宋体" w:eastAsia="宋体" w:cs="宋体"/>
      <w:color w:val="000000"/>
      <w:sz w:val="20"/>
      <w:szCs w:val="20"/>
      <w:u w:val="none"/>
    </w:rPr>
  </w:style>
  <w:style w:type="character" w:customStyle="1" w:styleId="21">
    <w:name w:val="font71"/>
    <w:basedOn w:val="9"/>
    <w:qFormat/>
    <w:uiPriority w:val="0"/>
    <w:rPr>
      <w:rFonts w:hint="default" w:ascii="Times New Roman" w:hAnsi="Times New Roman" w:cs="Times New Roman"/>
      <w:color w:val="000000"/>
      <w:sz w:val="20"/>
      <w:szCs w:val="20"/>
      <w:u w:val="none"/>
    </w:rPr>
  </w:style>
  <w:style w:type="character" w:customStyle="1" w:styleId="22">
    <w:name w:val="font81"/>
    <w:basedOn w:val="9"/>
    <w:qFormat/>
    <w:uiPriority w:val="0"/>
    <w:rPr>
      <w:rFonts w:hint="eastAsia" w:ascii="宋体" w:hAnsi="宋体" w:eastAsia="宋体" w:cs="宋体"/>
      <w:color w:val="000000"/>
      <w:sz w:val="20"/>
      <w:szCs w:val="20"/>
      <w:u w:val="none"/>
    </w:rPr>
  </w:style>
  <w:style w:type="character" w:customStyle="1" w:styleId="23">
    <w:name w:val="font31"/>
    <w:basedOn w:val="9"/>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5</TotalTime>
  <ScaleCrop>false</ScaleCrop>
  <LinksUpToDate>false</LinksUpToDate>
  <CharactersWithSpaces>26759</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xfx</cp:lastModifiedBy>
  <dcterms:modified xsi:type="dcterms:W3CDTF">2025-07-01T17:55:46Z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9D2ABACD7B2C44A8A2B06368DCD22FD7_43</vt:lpwstr>
  </property>
</Properties>
</file>