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重庆市忠县洋渡镇文化服务中心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1、传播文化、发展文化、繁荣文化、管理文化，引领先进文化方向。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2、运用一切艺术手段，对群众进行时政方针政策、思想道德教育和优良传统教育，促进精神文明建设。</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3、组织、协调、指导、开展所辖区的群众文体、娱乐活动。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4、组织并指导群众艺术创作，开展群众文化工作理论研究和对外民间文化交流。</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5、开展图书阅览，举办各类展览、讲座、培训等，普及科学文化知识，提高群众文化素质。编辑并推荐群众业余艺术创作作品和科普材料。</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6、开展流动文化服务;指导群众业余文体团队建设，辅导和培训群众文体骨干。</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7、负责配送和管理村、</w:t>
      </w:r>
      <w:r>
        <w:rPr>
          <w:rFonts w:hint="eastAsia" w:ascii="Times New Roman" w:hAnsi="Times New Roman" w:eastAsia="方正仿宋_GBK" w:cs="Times New Roman"/>
          <w:b w:val="0"/>
          <w:bCs w:val="0"/>
          <w:sz w:val="32"/>
          <w:szCs w:val="32"/>
          <w:lang w:eastAsia="zh-CN"/>
        </w:rPr>
        <w:t>社区</w:t>
      </w:r>
      <w:r>
        <w:rPr>
          <w:rFonts w:hint="default" w:ascii="Times New Roman" w:hAnsi="Times New Roman" w:eastAsia="方正仿宋_GBK" w:cs="Times New Roman"/>
          <w:b w:val="0"/>
          <w:bCs w:val="0"/>
          <w:sz w:val="32"/>
          <w:szCs w:val="32"/>
        </w:rPr>
        <w:t>等公共文化资源;执导村、</w:t>
      </w:r>
      <w:r>
        <w:rPr>
          <w:rFonts w:hint="eastAsia" w:ascii="Times New Roman" w:hAnsi="Times New Roman" w:eastAsia="方正仿宋_GBK" w:cs="Times New Roman"/>
          <w:b w:val="0"/>
          <w:bCs w:val="0"/>
          <w:sz w:val="32"/>
          <w:szCs w:val="32"/>
          <w:lang w:eastAsia="zh-CN"/>
        </w:rPr>
        <w:t>社区</w:t>
      </w:r>
      <w:r>
        <w:rPr>
          <w:rFonts w:hint="default" w:ascii="Times New Roman" w:hAnsi="Times New Roman" w:eastAsia="方正仿宋_GBK" w:cs="Times New Roman"/>
          <w:b w:val="0"/>
          <w:bCs w:val="0"/>
          <w:sz w:val="32"/>
          <w:szCs w:val="32"/>
        </w:rPr>
        <w:t>的群众文体工作。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8、负责当地的文化市场管理。包括演出团体、民间艺术、图书报刊、摄影音像、电影电视、网吧球室等文体活动的组织、开展、指导和管理。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9、收集、整理、保护、传承民间文化遗产。开展非物质文化遗产的普查、展示、宣传，指导传承人开展传习活动;做好地方文物的保护和宣传工作，代表国家进行当地的文物保护和管理。</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本单位无内设机构 。</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2023年度收入总计100.73万元，支出总计</w:t>
      </w:r>
      <w:r>
        <w:rPr>
          <w:rFonts w:ascii="方正仿宋_GBK" w:hAnsi="方正仿宋_GBK" w:eastAsia="方正仿宋_GBK" w:cs="方正仿宋_GBK"/>
          <w:sz w:val="32"/>
          <w:szCs w:val="32"/>
        </w:rPr>
        <w:t>100.73</w:t>
      </w:r>
      <w:r>
        <w:rPr>
          <w:rFonts w:ascii="方正仿宋_GBK" w:hAnsi="方正仿宋_GBK" w:eastAsia="方正仿宋_GBK" w:cs="方正仿宋_GBK"/>
          <w:sz w:val="32"/>
          <w:szCs w:val="32"/>
          <w:shd w:val="clear" w:color="auto" w:fill="FFFFFF"/>
        </w:rPr>
        <w:t>万元。收支较上年决算数增加19.76万元，增长24.40%，主要原因是</w:t>
      </w:r>
      <w:r>
        <w:rPr>
          <w:rFonts w:hint="default" w:ascii="Times New Roman" w:hAnsi="Times New Roman" w:eastAsia="方正仿宋_GBK" w:cs="Times New Roman"/>
          <w:b w:val="0"/>
          <w:bCs w:val="0"/>
          <w:sz w:val="32"/>
          <w:szCs w:val="32"/>
          <w:highlight w:val="none"/>
          <w:lang w:eastAsia="zh-CN"/>
        </w:rPr>
        <w:t>公用经费增加导致收支增加</w:t>
      </w:r>
      <w:r>
        <w:rPr>
          <w:rFonts w:hint="eastAsia" w:ascii="Times New Roman" w:hAnsi="Times New Roman" w:eastAsia="方正仿宋_GBK" w:cs="Times New Roman"/>
          <w:b w:val="0"/>
          <w:bCs w:val="0"/>
          <w:sz w:val="32"/>
          <w:szCs w:val="32"/>
          <w:highlight w:val="none"/>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2023年度收入合计100.73万元，较上年决算数增加19.76万元，增长24.40%，主要原因是</w:t>
      </w:r>
      <w:r>
        <w:rPr>
          <w:rFonts w:hint="default" w:ascii="Times New Roman" w:hAnsi="Times New Roman" w:eastAsia="方正仿宋_GBK" w:cs="Times New Roman"/>
          <w:b w:val="0"/>
          <w:bCs w:val="0"/>
          <w:sz w:val="32"/>
          <w:szCs w:val="32"/>
          <w:highlight w:val="none"/>
          <w:lang w:eastAsia="zh-CN"/>
        </w:rPr>
        <w:t>公用经费增加导致收支增加</w:t>
      </w:r>
      <w:r>
        <w:rPr>
          <w:rFonts w:hint="eastAsia" w:ascii="Times New Roman" w:hAnsi="Times New Roman" w:eastAsia="方正仿宋_GBK" w:cs="Times New Roman"/>
          <w:b w:val="0"/>
          <w:bCs w:val="0"/>
          <w:sz w:val="32"/>
          <w:szCs w:val="32"/>
          <w:highlight w:val="none"/>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100.73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100.73</w:t>
      </w:r>
      <w:r>
        <w:rPr>
          <w:rFonts w:ascii="方正仿宋_GBK" w:hAnsi="方正仿宋_GBK" w:eastAsia="方正仿宋_GBK" w:cs="方正仿宋_GBK"/>
          <w:sz w:val="32"/>
          <w:szCs w:val="32"/>
          <w:shd w:val="clear" w:color="auto" w:fill="FFFFFF"/>
        </w:rPr>
        <w:t>万元，较上年决算数增加19.76万元，增长24.40%，主要原因是</w:t>
      </w:r>
      <w:r>
        <w:rPr>
          <w:rFonts w:hint="default" w:ascii="Times New Roman" w:hAnsi="Times New Roman" w:eastAsia="方正仿宋_GBK" w:cs="Times New Roman"/>
          <w:b w:val="0"/>
          <w:bCs w:val="0"/>
          <w:sz w:val="32"/>
          <w:szCs w:val="32"/>
          <w:highlight w:val="none"/>
          <w:lang w:eastAsia="zh-CN"/>
        </w:rPr>
        <w:t>公用经费增加导致收支增加</w:t>
      </w:r>
      <w:r>
        <w:rPr>
          <w:rFonts w:hint="eastAsia" w:ascii="Times New Roman" w:hAnsi="Times New Roman" w:eastAsia="方正仿宋_GBK" w:cs="Times New Roman"/>
          <w:b w:val="0"/>
          <w:bCs w:val="0"/>
          <w:sz w:val="32"/>
          <w:szCs w:val="32"/>
          <w:highlight w:val="none"/>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97.73</w:t>
      </w:r>
      <w:r>
        <w:rPr>
          <w:rFonts w:ascii="方正仿宋_GBK" w:hAnsi="方正仿宋_GBK" w:eastAsia="方正仿宋_GBK" w:cs="方正仿宋_GBK"/>
          <w:sz w:val="32"/>
          <w:szCs w:val="32"/>
          <w:shd w:val="clear" w:color="auto" w:fill="FFFFFF"/>
        </w:rPr>
        <w:t>万元，占97.02%；项目支出</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万元，占2.98%；经营支出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lang w:eastAsia="zh-CN"/>
        </w:rPr>
        <w:t>本单位无结转结余</w:t>
      </w:r>
      <w:r>
        <w:rPr>
          <w:rFonts w:hint="default" w:ascii="Times New Roman" w:hAnsi="Times New Roman" w:eastAsia="方正仿宋_GBK" w:cs="Times New Roman"/>
          <w:b w:val="0"/>
          <w:bCs w:val="0"/>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2023年度财政拨款收、支总计100.73万元。与2022年相比，财政拨款收、支总计各增加19.76万元，增长24.40%。主要原因</w:t>
      </w:r>
      <w:r>
        <w:rPr>
          <w:rFonts w:hint="eastAsia" w:ascii="方正仿宋_GBK" w:hAnsi="方正仿宋_GBK" w:eastAsia="方正仿宋_GBK" w:cs="方正仿宋_GBK"/>
          <w:sz w:val="32"/>
          <w:szCs w:val="32"/>
          <w:shd w:val="clear" w:color="auto" w:fill="FFFFFF"/>
          <w:lang w:eastAsia="zh-CN"/>
        </w:rPr>
        <w:t>是</w:t>
      </w:r>
      <w:r>
        <w:rPr>
          <w:rFonts w:hint="default" w:ascii="Times New Roman" w:hAnsi="Times New Roman" w:eastAsia="方正仿宋_GBK" w:cs="Times New Roman"/>
          <w:b w:val="0"/>
          <w:bCs w:val="0"/>
          <w:sz w:val="32"/>
          <w:szCs w:val="32"/>
          <w:highlight w:val="none"/>
          <w:lang w:eastAsia="zh-CN"/>
        </w:rPr>
        <w:t>公用经费增加导致收支增加。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100.73</w:t>
      </w:r>
      <w:r>
        <w:rPr>
          <w:rFonts w:ascii="方正仿宋_GBK" w:hAnsi="方正仿宋_GBK" w:eastAsia="方正仿宋_GBK" w:cs="方正仿宋_GBK"/>
          <w:sz w:val="32"/>
          <w:szCs w:val="32"/>
          <w:shd w:val="clear" w:color="auto" w:fill="FFFFFF"/>
        </w:rPr>
        <w:t>万元，较上年决算数增加19.76万元，增长24.40%。主要原因是</w:t>
      </w:r>
      <w:r>
        <w:rPr>
          <w:rFonts w:hint="default" w:ascii="Times New Roman" w:hAnsi="Times New Roman" w:eastAsia="方正仿宋_GBK" w:cs="Times New Roman"/>
          <w:b w:val="0"/>
          <w:bCs w:val="0"/>
          <w:sz w:val="32"/>
          <w:szCs w:val="32"/>
          <w:highlight w:val="none"/>
          <w:lang w:eastAsia="zh-CN"/>
        </w:rPr>
        <w:t>公用经费增加导致收支增加</w:t>
      </w:r>
      <w:r>
        <w:rPr>
          <w:rFonts w:hint="eastAsia" w:ascii="Times New Roman" w:hAnsi="Times New Roman" w:eastAsia="方正仿宋_GBK" w:cs="Times New Roman"/>
          <w:b w:val="0"/>
          <w:bCs w:val="0"/>
          <w:sz w:val="32"/>
          <w:szCs w:val="32"/>
          <w:highlight w:val="none"/>
          <w:lang w:eastAsia="zh-CN"/>
        </w:rPr>
        <w:t>。</w:t>
      </w:r>
      <w:r>
        <w:rPr>
          <w:rFonts w:ascii="方正仿宋_GBK" w:hAnsi="方正仿宋_GBK" w:eastAsia="方正仿宋_GBK" w:cs="方正仿宋_GBK"/>
          <w:sz w:val="32"/>
          <w:szCs w:val="32"/>
          <w:shd w:val="clear" w:color="auto" w:fill="FFFFFF"/>
        </w:rPr>
        <w:t>较年初预算数增加15.51万元，增长18.20%。主要原因是</w:t>
      </w:r>
      <w:r>
        <w:rPr>
          <w:rFonts w:hint="default" w:ascii="Times New Roman" w:hAnsi="Times New Roman" w:eastAsia="方正仿宋_GBK" w:cs="Times New Roman"/>
          <w:b w:val="0"/>
          <w:bCs w:val="0"/>
          <w:color w:val="auto"/>
          <w:sz w:val="32"/>
          <w:szCs w:val="32"/>
          <w:highlight w:val="none"/>
          <w:lang w:eastAsia="zh-CN"/>
        </w:rPr>
        <w:t>人员经费调标导致收入较预算有所增加。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3" w:firstLineChars="200"/>
        <w:jc w:val="left"/>
        <w:textAlignment w:val="auto"/>
        <w:rPr>
          <w:rFonts w:hint="default" w:ascii="Times New Roman" w:hAnsi="Times New Roman" w:eastAsia="方正仿宋_GBK" w:cs="Times New Roman"/>
          <w:b w:val="0"/>
          <w:bCs w:val="0"/>
          <w:sz w:val="32"/>
          <w:szCs w:val="32"/>
          <w:highlight w:val="yellow"/>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100.73</w:t>
      </w:r>
      <w:r>
        <w:rPr>
          <w:rFonts w:ascii="方正仿宋_GBK" w:hAnsi="方正仿宋_GBK" w:eastAsia="方正仿宋_GBK" w:cs="方正仿宋_GBK"/>
          <w:sz w:val="32"/>
          <w:szCs w:val="32"/>
          <w:shd w:val="clear" w:color="auto" w:fill="FFFFFF"/>
        </w:rPr>
        <w:t>万元，较上年决算数增加19.76万元，增长24.40%。主要原因是</w:t>
      </w:r>
      <w:r>
        <w:rPr>
          <w:rFonts w:hint="default" w:ascii="Times New Roman" w:hAnsi="Times New Roman" w:eastAsia="方正仿宋_GBK" w:cs="Times New Roman"/>
          <w:b w:val="0"/>
          <w:bCs w:val="0"/>
          <w:sz w:val="32"/>
          <w:szCs w:val="32"/>
          <w:lang w:eastAsia="zh-CN"/>
        </w:rPr>
        <w:t>公用经费增加导致支出增加。</w:t>
      </w:r>
      <w:r>
        <w:rPr>
          <w:rFonts w:ascii="方正仿宋_GBK" w:hAnsi="方正仿宋_GBK" w:eastAsia="方正仿宋_GBK" w:cs="方正仿宋_GBK"/>
          <w:sz w:val="32"/>
          <w:szCs w:val="32"/>
          <w:shd w:val="clear" w:color="auto" w:fill="FFFFFF"/>
        </w:rPr>
        <w:t>较年初预算数增加15.51万元，增长18.20%。主要原因是</w:t>
      </w:r>
      <w:r>
        <w:rPr>
          <w:rFonts w:hint="default" w:ascii="Times New Roman" w:hAnsi="Times New Roman" w:eastAsia="方正仿宋_GBK" w:cs="Times New Roman"/>
          <w:b w:val="0"/>
          <w:bCs w:val="0"/>
          <w:color w:val="auto"/>
          <w:sz w:val="32"/>
          <w:szCs w:val="32"/>
          <w:highlight w:val="none"/>
          <w:lang w:eastAsia="zh-CN"/>
        </w:rPr>
        <w:t>人员经费调标导致支出较预算有所增加。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lang w:eastAsia="zh-CN"/>
        </w:rPr>
        <w:t>本单位无结转结余</w:t>
      </w:r>
      <w:r>
        <w:rPr>
          <w:rFonts w:hint="default" w:ascii="Times New Roman" w:hAnsi="Times New Roman" w:eastAsia="方正仿宋_GBK" w:cs="Times New Roman"/>
          <w:b w:val="0"/>
          <w:bCs w:val="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%，较年初预算数无增减，主要原因是</w:t>
      </w:r>
      <w:r>
        <w:rPr>
          <w:rFonts w:hint="default" w:ascii="Times New Roman" w:hAnsi="Times New Roman" w:eastAsia="方正仿宋_GBK" w:cs="Times New Roman"/>
          <w:b w:val="0"/>
          <w:bCs w:val="0"/>
          <w:color w:val="auto"/>
          <w:sz w:val="32"/>
          <w:szCs w:val="32"/>
          <w:highlight w:val="none"/>
        </w:rPr>
        <w:t>培训费</w:t>
      </w:r>
      <w:r>
        <w:rPr>
          <w:rFonts w:hint="eastAsia" w:ascii="Times New Roman" w:hAnsi="Times New Roman" w:eastAsia="方正仿宋_GBK" w:cs="Times New Roman"/>
          <w:b w:val="0"/>
          <w:bCs w:val="0"/>
          <w:color w:val="auto"/>
          <w:sz w:val="32"/>
          <w:szCs w:val="32"/>
          <w:highlight w:val="none"/>
          <w:lang w:val="en-US" w:eastAsia="zh-CN"/>
        </w:rPr>
        <w:t>无增减</w:t>
      </w:r>
      <w:r>
        <w:rPr>
          <w:rFonts w:hint="default" w:ascii="Times New Roman" w:hAnsi="Times New Roman" w:eastAsia="方正仿宋_GBK" w:cs="Times New Roman"/>
          <w:b w:val="0"/>
          <w:bCs w:val="0"/>
          <w:color w:val="auto"/>
          <w:sz w:val="32"/>
          <w:szCs w:val="32"/>
          <w:highlight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highlight w:val="yellow"/>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79.34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78.77</w:t>
      </w:r>
      <w:r>
        <w:rPr>
          <w:rFonts w:ascii="方正仿宋_GBK" w:hAnsi="方正仿宋_GBK" w:eastAsia="方正仿宋_GBK" w:cs="方正仿宋_GBK"/>
          <w:sz w:val="32"/>
          <w:szCs w:val="32"/>
          <w:shd w:val="clear" w:color="auto" w:fill="FFFFFF"/>
        </w:rPr>
        <w:t>%，较年初预算数增加14.87万元，增长23.06%，主要原因是</w:t>
      </w:r>
      <w:r>
        <w:rPr>
          <w:rFonts w:hint="default" w:ascii="Times New Roman" w:hAnsi="Times New Roman" w:eastAsia="方正仿宋_GBK" w:cs="Times New Roman"/>
          <w:b w:val="0"/>
          <w:bCs w:val="0"/>
          <w:color w:val="auto"/>
          <w:sz w:val="32"/>
          <w:szCs w:val="32"/>
          <w:highlight w:val="none"/>
          <w:lang w:eastAsia="zh-CN"/>
        </w:rPr>
        <w:t>人员经费调标导致</w:t>
      </w:r>
      <w:r>
        <w:rPr>
          <w:rFonts w:hint="default" w:ascii="Times New Roman" w:hAnsi="Times New Roman" w:eastAsia="方正仿宋_GBK" w:cs="Times New Roman"/>
          <w:b w:val="0"/>
          <w:bCs w:val="0"/>
          <w:color w:val="auto"/>
          <w:sz w:val="32"/>
          <w:szCs w:val="32"/>
          <w:highlight w:val="none"/>
        </w:rPr>
        <w:t>文化旅游体育与传媒支出</w:t>
      </w:r>
      <w:r>
        <w:rPr>
          <w:rFonts w:hint="default" w:ascii="Times New Roman" w:hAnsi="Times New Roman" w:eastAsia="方正仿宋_GBK" w:cs="Times New Roman"/>
          <w:b w:val="0"/>
          <w:bCs w:val="0"/>
          <w:color w:val="auto"/>
          <w:sz w:val="32"/>
          <w:szCs w:val="32"/>
          <w:highlight w:val="none"/>
          <w:lang w:eastAsia="zh-CN"/>
        </w:rPr>
        <w:t>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highlight w:val="yellow"/>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12.93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12.84</w:t>
      </w:r>
      <w:r>
        <w:rPr>
          <w:rFonts w:ascii="方正仿宋_GBK" w:hAnsi="方正仿宋_GBK" w:eastAsia="方正仿宋_GBK" w:cs="方正仿宋_GBK"/>
          <w:sz w:val="32"/>
          <w:szCs w:val="32"/>
          <w:shd w:val="clear" w:color="auto" w:fill="FFFFFF"/>
        </w:rPr>
        <w:t>%，较年初预算数增加0.65万元，增长5.29%，主要原因是</w:t>
      </w:r>
      <w:r>
        <w:rPr>
          <w:rFonts w:hint="default" w:ascii="Times New Roman" w:hAnsi="Times New Roman" w:eastAsia="方正仿宋_GBK" w:cs="Times New Roman"/>
          <w:b w:val="0"/>
          <w:bCs w:val="0"/>
          <w:color w:val="auto"/>
          <w:sz w:val="32"/>
          <w:szCs w:val="32"/>
          <w:highlight w:val="none"/>
          <w:lang w:eastAsia="zh-CN"/>
        </w:rPr>
        <w:t>人员经费调标导致</w:t>
      </w:r>
      <w:r>
        <w:rPr>
          <w:rFonts w:hint="default" w:ascii="Times New Roman" w:hAnsi="Times New Roman" w:eastAsia="方正仿宋_GBK" w:cs="Times New Roman"/>
          <w:b w:val="0"/>
          <w:bCs w:val="0"/>
          <w:color w:val="auto"/>
          <w:sz w:val="32"/>
          <w:szCs w:val="32"/>
          <w:highlight w:val="none"/>
        </w:rPr>
        <w:t>社会保障与就业支出</w:t>
      </w:r>
      <w:r>
        <w:rPr>
          <w:rFonts w:hint="default" w:ascii="Times New Roman" w:hAnsi="Times New Roman" w:eastAsia="方正仿宋_GBK" w:cs="Times New Roman"/>
          <w:b w:val="0"/>
          <w:bCs w:val="0"/>
          <w:color w:val="auto"/>
          <w:sz w:val="32"/>
          <w:szCs w:val="32"/>
          <w:highlight w:val="none"/>
          <w:lang w:eastAsia="zh-CN"/>
        </w:rPr>
        <w:t>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4.12</w:t>
      </w:r>
      <w:r>
        <w:rPr>
          <w:rFonts w:ascii="方正仿宋_GBK" w:hAnsi="方正仿宋_GBK" w:eastAsia="方正仿宋_GBK" w:cs="方正仿宋_GBK"/>
          <w:sz w:val="32"/>
          <w:szCs w:val="32"/>
          <w:shd w:val="clear" w:color="auto" w:fill="FFFFFF"/>
        </w:rPr>
        <w:t>%，较年初预算数减少0.01万元，下降0.24%，主要原因是</w:t>
      </w:r>
      <w:r>
        <w:rPr>
          <w:rFonts w:hint="default" w:ascii="Times New Roman" w:hAnsi="Times New Roman" w:eastAsia="方正仿宋_GBK" w:cs="Times New Roman"/>
          <w:b w:val="0"/>
          <w:bCs w:val="0"/>
          <w:color w:val="auto"/>
          <w:sz w:val="32"/>
          <w:szCs w:val="32"/>
          <w:highlight w:val="none"/>
          <w:lang w:eastAsia="zh-CN"/>
        </w:rPr>
        <w:t>医疗保险支出</w:t>
      </w:r>
      <w:r>
        <w:rPr>
          <w:rFonts w:hint="eastAsia" w:ascii="Times New Roman" w:hAnsi="Times New Roman" w:eastAsia="方正仿宋_GBK" w:cs="Times New Roman"/>
          <w:b w:val="0"/>
          <w:bCs w:val="0"/>
          <w:color w:val="auto"/>
          <w:sz w:val="32"/>
          <w:szCs w:val="32"/>
          <w:highlight w:val="none"/>
          <w:lang w:val="en-US" w:eastAsia="zh-CN"/>
        </w:rPr>
        <w:t>增加</w:t>
      </w:r>
      <w:r>
        <w:rPr>
          <w:rFonts w:hint="default" w:ascii="Times New Roman" w:hAnsi="Times New Roman" w:eastAsia="方正仿宋_GBK" w:cs="Times New Roman"/>
          <w:b w:val="0"/>
          <w:bCs w:val="0"/>
          <w:color w:val="auto"/>
          <w:sz w:val="32"/>
          <w:szCs w:val="32"/>
          <w:highlight w:val="none"/>
          <w:lang w:eastAsia="zh-CN"/>
        </w:rPr>
        <w:t>导致</w:t>
      </w:r>
      <w:r>
        <w:rPr>
          <w:rFonts w:hint="default" w:ascii="Times New Roman" w:hAnsi="Times New Roman" w:eastAsia="方正仿宋_GBK" w:cs="Times New Roman"/>
          <w:b w:val="0"/>
          <w:bCs w:val="0"/>
          <w:color w:val="auto"/>
          <w:sz w:val="32"/>
          <w:szCs w:val="32"/>
          <w:highlight w:val="none"/>
        </w:rPr>
        <w:t>卫生健康支出</w:t>
      </w:r>
      <w:r>
        <w:rPr>
          <w:rFonts w:hint="eastAsia" w:ascii="Times New Roman" w:hAnsi="Times New Roman" w:eastAsia="方正仿宋_GBK" w:cs="Times New Roman"/>
          <w:b w:val="0"/>
          <w:bCs w:val="0"/>
          <w:color w:val="auto"/>
          <w:sz w:val="32"/>
          <w:szCs w:val="32"/>
          <w:highlight w:val="none"/>
          <w:lang w:val="en-US" w:eastAsia="zh-CN"/>
        </w:rPr>
        <w:t>增加</w:t>
      </w:r>
      <w:r>
        <w:rPr>
          <w:rFonts w:hint="default" w:ascii="Times New Roman" w:hAnsi="Times New Roman" w:eastAsia="方正仿宋_GBK" w:cs="Times New Roman"/>
          <w:b w:val="0"/>
          <w:bCs w:val="0"/>
          <w:color w:val="auto"/>
          <w:sz w:val="32"/>
          <w:szCs w:val="32"/>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4.02</w:t>
      </w:r>
      <w:r>
        <w:rPr>
          <w:rFonts w:ascii="方正仿宋_GBK" w:hAnsi="方正仿宋_GBK" w:eastAsia="方正仿宋_GBK" w:cs="方正仿宋_GBK"/>
          <w:sz w:val="32"/>
          <w:szCs w:val="32"/>
          <w:shd w:val="clear" w:color="auto" w:fill="FFFFFF"/>
        </w:rPr>
        <w:t>%，较年初预算数无增减，主要原因是</w:t>
      </w:r>
      <w:r>
        <w:rPr>
          <w:rFonts w:hint="default" w:ascii="Times New Roman" w:hAnsi="Times New Roman" w:eastAsia="方正仿宋_GBK" w:cs="Times New Roman"/>
          <w:b w:val="0"/>
          <w:bCs w:val="0"/>
          <w:color w:val="auto"/>
          <w:sz w:val="32"/>
          <w:szCs w:val="32"/>
          <w:highlight w:val="none"/>
        </w:rPr>
        <w:t>住房公积金缴费</w:t>
      </w:r>
      <w:r>
        <w:rPr>
          <w:rFonts w:hint="eastAsia" w:ascii="Times New Roman" w:hAnsi="Times New Roman" w:eastAsia="方正仿宋_GBK" w:cs="Times New Roman"/>
          <w:b w:val="0"/>
          <w:bCs w:val="0"/>
          <w:color w:val="auto"/>
          <w:sz w:val="32"/>
          <w:szCs w:val="32"/>
          <w:highlight w:val="none"/>
          <w:lang w:val="en-US" w:eastAsia="zh-CN"/>
        </w:rPr>
        <w:t>支出增加导致住房保障支出增加</w:t>
      </w:r>
      <w:r>
        <w:rPr>
          <w:rFonts w:hint="default" w:ascii="Times New Roman" w:hAnsi="Times New Roman" w:eastAsia="方正仿宋_GBK" w:cs="Times New Roman"/>
          <w:b w:val="0"/>
          <w:bCs w:val="0"/>
          <w:color w:val="auto"/>
          <w:sz w:val="32"/>
          <w:szCs w:val="32"/>
          <w:highlight w:val="none"/>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97.73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88.97</w:t>
      </w:r>
      <w:r>
        <w:rPr>
          <w:rFonts w:ascii="方正仿宋_GBK" w:hAnsi="方正仿宋_GBK" w:eastAsia="方正仿宋_GBK" w:cs="方正仿宋_GBK"/>
          <w:sz w:val="32"/>
          <w:szCs w:val="32"/>
          <w:shd w:val="clear" w:color="auto" w:fill="FFFFFF"/>
        </w:rPr>
        <w:t>万元，较上年决算数增加17.06万元，增长23.72%，主要原因是</w:t>
      </w:r>
      <w:r>
        <w:rPr>
          <w:rFonts w:hint="default" w:ascii="Times New Roman" w:hAnsi="Times New Roman" w:eastAsia="方正仿宋_GBK" w:cs="Times New Roman"/>
          <w:b w:val="0"/>
          <w:bCs w:val="0"/>
          <w:sz w:val="32"/>
          <w:szCs w:val="32"/>
          <w:highlight w:val="none"/>
        </w:rPr>
        <w:t>人员经费</w:t>
      </w:r>
      <w:r>
        <w:rPr>
          <w:rFonts w:hint="default" w:ascii="Times New Roman" w:hAnsi="Times New Roman" w:eastAsia="方正仿宋_GBK" w:cs="Times New Roman"/>
          <w:b w:val="0"/>
          <w:bCs w:val="0"/>
          <w:sz w:val="32"/>
          <w:szCs w:val="32"/>
          <w:highlight w:val="none"/>
          <w:lang w:eastAsia="zh-CN"/>
        </w:rPr>
        <w:t>调标导致人员经费增加</w:t>
      </w:r>
      <w:r>
        <w:rPr>
          <w:rFonts w:hint="eastAsia" w:ascii="Times New Roman" w:hAnsi="Times New Roman" w:eastAsia="方正仿宋_GBK" w:cs="Times New Roman"/>
          <w:b w:val="0"/>
          <w:bCs w:val="0"/>
          <w:sz w:val="32"/>
          <w:szCs w:val="32"/>
          <w:highlight w:val="none"/>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b w:val="0"/>
          <w:bCs w:val="0"/>
          <w:sz w:val="32"/>
          <w:szCs w:val="32"/>
        </w:rPr>
        <w:t>基本工资、绩效工资、津贴补贴、社会保障缴费等。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8.76</w:t>
      </w:r>
      <w:r>
        <w:rPr>
          <w:rFonts w:ascii="方正仿宋_GBK" w:hAnsi="方正仿宋_GBK" w:eastAsia="方正仿宋_GBK" w:cs="方正仿宋_GBK"/>
          <w:sz w:val="32"/>
          <w:szCs w:val="32"/>
          <w:shd w:val="clear" w:color="auto" w:fill="FFFFFF"/>
        </w:rPr>
        <w:t>万元，较上年决算数减少0.31万元，下降3.42%，主要原因是</w:t>
      </w:r>
      <w:r>
        <w:rPr>
          <w:rFonts w:hint="default" w:ascii="Times New Roman" w:hAnsi="Times New Roman" w:eastAsia="方正仿宋_GBK" w:cs="Times New Roman"/>
          <w:b w:val="0"/>
          <w:bCs w:val="0"/>
          <w:color w:val="auto"/>
          <w:sz w:val="32"/>
          <w:szCs w:val="32"/>
          <w:highlight w:val="none"/>
          <w:lang w:eastAsia="zh-CN"/>
        </w:rPr>
        <w:t>办公</w:t>
      </w:r>
      <w:r>
        <w:rPr>
          <w:rFonts w:hint="eastAsia" w:ascii="Times New Roman" w:hAnsi="Times New Roman" w:eastAsia="方正仿宋_GBK" w:cs="Times New Roman"/>
          <w:b w:val="0"/>
          <w:bCs w:val="0"/>
          <w:color w:val="auto"/>
          <w:sz w:val="32"/>
          <w:szCs w:val="32"/>
          <w:highlight w:val="none"/>
          <w:lang w:eastAsia="zh-CN"/>
        </w:rPr>
        <w:t>经费减少</w:t>
      </w:r>
      <w:r>
        <w:rPr>
          <w:rFonts w:hint="default" w:ascii="Times New Roman" w:hAnsi="Times New Roman" w:eastAsia="方正仿宋_GBK" w:cs="Times New Roman"/>
          <w:b w:val="0"/>
          <w:bCs w:val="0"/>
          <w:color w:val="auto"/>
          <w:sz w:val="32"/>
          <w:szCs w:val="32"/>
          <w:highlight w:val="none"/>
          <w:lang w:eastAsia="zh-CN"/>
        </w:rPr>
        <w:t>导致公用经费</w:t>
      </w:r>
      <w:r>
        <w:rPr>
          <w:rFonts w:hint="eastAsia" w:ascii="Times New Roman" w:hAnsi="Times New Roman" w:eastAsia="方正仿宋_GBK" w:cs="Times New Roman"/>
          <w:b w:val="0"/>
          <w:bCs w:val="0"/>
          <w:color w:val="auto"/>
          <w:sz w:val="32"/>
          <w:szCs w:val="32"/>
          <w:highlight w:val="none"/>
          <w:lang w:eastAsia="zh-CN"/>
        </w:rPr>
        <w:t>减少。</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b w:val="0"/>
          <w:bCs w:val="0"/>
          <w:sz w:val="32"/>
          <w:szCs w:val="32"/>
        </w:rPr>
        <w:t>办公费、印刷费、邮电费、水电费、劳务费等。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万元，较年初预算数减少0.02万元，下降15.38%，主要原因是</w:t>
      </w:r>
      <w:r>
        <w:rPr>
          <w:rFonts w:hint="default" w:ascii="Times New Roman" w:hAnsi="Times New Roman" w:eastAsia="方正仿宋_GBK" w:cs="Times New Roman"/>
          <w:b w:val="0"/>
          <w:bCs w:val="0"/>
          <w:sz w:val="32"/>
          <w:szCs w:val="32"/>
        </w:rPr>
        <w:t>认真贯彻落实</w:t>
      </w:r>
      <w:r>
        <w:rPr>
          <w:rFonts w:hint="eastAsia" w:ascii="Times New Roman" w:hAnsi="Times New Roman" w:eastAsia="方正仿宋_GBK" w:cs="Times New Roman"/>
          <w:b w:val="0"/>
          <w:bCs w:val="0"/>
          <w:sz w:val="32"/>
          <w:szCs w:val="32"/>
          <w:lang w:eastAsia="zh-CN"/>
        </w:rPr>
        <w:t>中央八项规定</w:t>
      </w:r>
      <w:r>
        <w:rPr>
          <w:rFonts w:hint="default" w:ascii="Times New Roman" w:hAnsi="Times New Roman" w:eastAsia="方正仿宋_GBK" w:cs="Times New Roman"/>
          <w:b w:val="0"/>
          <w:bCs w:val="0"/>
          <w:sz w:val="32"/>
          <w:szCs w:val="32"/>
        </w:rPr>
        <w:t>，减少三公经费。</w:t>
      </w:r>
      <w:r>
        <w:rPr>
          <w:rFonts w:ascii="方正仿宋_GBK" w:hAnsi="方正仿宋_GBK" w:eastAsia="方正仿宋_GBK" w:cs="方正仿宋_GBK"/>
          <w:sz w:val="32"/>
          <w:szCs w:val="32"/>
          <w:shd w:val="clear" w:color="auto" w:fill="FFFFFF"/>
        </w:rPr>
        <w:t>较上年支出数减少0.04万元，下降26.67%，主要原因是</w:t>
      </w:r>
      <w:r>
        <w:rPr>
          <w:rFonts w:hint="default" w:ascii="Times New Roman" w:hAnsi="Times New Roman" w:eastAsia="方正仿宋_GBK" w:cs="Times New Roman"/>
          <w:b w:val="0"/>
          <w:bCs w:val="0"/>
          <w:sz w:val="32"/>
          <w:szCs w:val="32"/>
        </w:rPr>
        <w:t>认真贯彻落实</w:t>
      </w:r>
      <w:r>
        <w:rPr>
          <w:rFonts w:hint="eastAsia" w:ascii="Times New Roman" w:hAnsi="Times New Roman" w:eastAsia="方正仿宋_GBK" w:cs="Times New Roman"/>
          <w:b w:val="0"/>
          <w:bCs w:val="0"/>
          <w:sz w:val="32"/>
          <w:szCs w:val="32"/>
          <w:lang w:eastAsia="zh-CN"/>
        </w:rPr>
        <w:t>中央八项规定</w:t>
      </w:r>
      <w:r>
        <w:rPr>
          <w:rFonts w:hint="default" w:ascii="Times New Roman" w:hAnsi="Times New Roman" w:eastAsia="方正仿宋_GBK" w:cs="Times New Roman"/>
          <w:b w:val="0"/>
          <w:bCs w:val="0"/>
          <w:sz w:val="32"/>
          <w:szCs w:val="32"/>
        </w:rPr>
        <w:t>，减少三公经费。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因公出国（境）费用</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因公出国（境）费用</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因公出国（境）费用</w:t>
      </w:r>
      <w:r>
        <w:rPr>
          <w:rFonts w:hint="default" w:ascii="Times New Roman" w:hAnsi="Times New Roman" w:eastAsia="方正仿宋_GBK" w:cs="Times New Roman"/>
          <w:b w:val="0"/>
          <w:bCs w:val="0"/>
          <w:sz w:val="32"/>
          <w:szCs w:val="32"/>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公务车购置费用</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公务车购置费用</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年未发生</w:t>
      </w:r>
      <w:r>
        <w:rPr>
          <w:rFonts w:hint="default" w:ascii="Times New Roman" w:hAnsi="Times New Roman" w:eastAsia="方正仿宋_GBK" w:cs="Times New Roman"/>
          <w:b w:val="0"/>
          <w:bCs w:val="0"/>
          <w:sz w:val="32"/>
          <w:szCs w:val="32"/>
        </w:rPr>
        <w:t>公务车购置费用</w:t>
      </w:r>
      <w:r>
        <w:rPr>
          <w:rFonts w:hint="default" w:ascii="Times New Roman" w:hAnsi="Times New Roman" w:eastAsia="方正仿宋_GBK" w:cs="Times New Roman"/>
          <w:b w:val="0"/>
          <w:bCs w:val="0"/>
          <w:sz w:val="32"/>
          <w:szCs w:val="32"/>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无公务用车</w:t>
      </w:r>
      <w:r>
        <w:rPr>
          <w:rFonts w:hint="eastAsia"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无公务用车</w:t>
      </w:r>
      <w:r>
        <w:rPr>
          <w:rFonts w:hint="eastAsia"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无公务用车</w:t>
      </w:r>
      <w:r>
        <w:rPr>
          <w:rFonts w:hint="eastAsia" w:ascii="Times New Roman" w:hAnsi="Times New Roman" w:eastAsia="方正仿宋_GBK" w:cs="Times New Roman"/>
          <w:b w:val="0"/>
          <w:bCs w:val="0"/>
          <w:sz w:val="32"/>
          <w:szCs w:val="32"/>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b w:val="0"/>
          <w:bCs w:val="0"/>
          <w:sz w:val="32"/>
          <w:szCs w:val="32"/>
        </w:rPr>
        <w:t>接待接受县级相关部门检查指导工作发生的接待支出。</w:t>
      </w:r>
      <w:r>
        <w:rPr>
          <w:rFonts w:ascii="方正仿宋_GBK" w:hAnsi="方正仿宋_GBK" w:eastAsia="方正仿宋_GBK" w:cs="方正仿宋_GBK"/>
          <w:sz w:val="32"/>
          <w:szCs w:val="32"/>
          <w:shd w:val="clear" w:color="auto" w:fill="FFFFFF"/>
        </w:rPr>
        <w:t>费用支出较年初预算数减少0.02万元，下降15.38%，主要原因是</w:t>
      </w:r>
      <w:r>
        <w:rPr>
          <w:rFonts w:hint="default" w:ascii="Times New Roman" w:hAnsi="Times New Roman" w:eastAsia="方正仿宋_GBK" w:cs="Times New Roman"/>
          <w:b w:val="0"/>
          <w:bCs w:val="0"/>
          <w:sz w:val="32"/>
          <w:szCs w:val="32"/>
        </w:rPr>
        <w:t>强化公务接待支出管理，严格遵守公务接待开支范围和开支标准，严格控制陪餐人数</w:t>
      </w:r>
      <w:r>
        <w:rPr>
          <w:rFonts w:hint="eastAsia"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较上年支出数减少0.04万元，下降26.67%，主要原因是</w:t>
      </w:r>
      <w:r>
        <w:rPr>
          <w:rFonts w:hint="default" w:ascii="Times New Roman" w:hAnsi="Times New Roman" w:eastAsia="方正仿宋_GBK" w:cs="Times New Roman"/>
          <w:b w:val="0"/>
          <w:bCs w:val="0"/>
          <w:sz w:val="32"/>
          <w:szCs w:val="32"/>
        </w:rPr>
        <w:t>强化公务接待支出管理，严格遵守公务接待开支范围和开支标准，严格控制陪餐人数</w:t>
      </w:r>
      <w:r>
        <w:rPr>
          <w:rFonts w:hint="eastAsia" w:ascii="Times New Roman" w:hAnsi="Times New Roman" w:eastAsia="方正仿宋_GBK" w:cs="Times New Roman"/>
          <w:b w:val="0"/>
          <w:bCs w:val="0"/>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36.57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本单位为事业单位</w:t>
      </w:r>
      <w:r>
        <w:rPr>
          <w:rFonts w:hint="default" w:ascii="Times New Roman" w:hAnsi="Times New Roman" w:eastAsia="方正仿宋_GBK" w:cs="Times New Roman"/>
          <w:sz w:val="32"/>
          <w:szCs w:val="32"/>
        </w:rPr>
        <w:t>，财政未保障我单位会议费</w:t>
      </w:r>
      <w:r>
        <w:rPr>
          <w:rFonts w:hint="default" w:ascii="Times New Roman" w:hAnsi="Times New Roman" w:eastAsia="方正仿宋_GBK" w:cs="Times New Roman"/>
          <w:b w:val="0"/>
          <w:bCs w:val="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万元，较上年决算数增加0.03万元，增长13.04%，主要原因是</w:t>
      </w:r>
      <w:r>
        <w:rPr>
          <w:rFonts w:hint="default" w:ascii="Times New Roman" w:hAnsi="Times New Roman" w:eastAsia="方正仿宋_GBK" w:cs="Times New Roman"/>
          <w:sz w:val="32"/>
          <w:szCs w:val="32"/>
          <w:lang w:eastAsia="zh-CN"/>
        </w:rPr>
        <w:t>本年度培训较去年有所增加。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b w:val="0"/>
          <w:bCs w:val="0"/>
          <w:color w:val="auto"/>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3"/>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我单位无一级项目、二级项目未开展绩效自评。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firstLine="960" w:firstLineChars="300"/>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我单位文化站（馆）免费开放经费</w:t>
      </w:r>
      <w:r>
        <w:rPr>
          <w:rFonts w:hint="eastAsia" w:ascii="Times New Roman" w:hAnsi="Times New Roman" w:eastAsia="方正仿宋_GBK" w:cs="Times New Roman"/>
          <w:b w:val="0"/>
          <w:bCs w:val="0"/>
          <w:sz w:val="32"/>
          <w:szCs w:val="32"/>
          <w:shd w:val="clear" w:color="auto" w:fill="FFFFFF"/>
          <w:lang w:val="en-US" w:eastAsia="zh-CN"/>
        </w:rPr>
        <w:t>项目</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w:t>
      </w:r>
      <w:r>
        <w:rPr>
          <w:rFonts w:hint="eastAsia" w:ascii="Times New Roman" w:hAnsi="Times New Roman" w:eastAsia="方正仿宋_GBK" w:cs="Times New Roman"/>
          <w:b w:val="0"/>
          <w:bCs w:val="0"/>
          <w:sz w:val="32"/>
          <w:szCs w:val="32"/>
          <w:shd w:val="clear" w:color="auto" w:fill="FFFFFF"/>
          <w:lang w:val="en-US" w:eastAsia="zh-CN"/>
        </w:rPr>
        <w:t>未</w:t>
      </w:r>
      <w:r>
        <w:rPr>
          <w:rFonts w:hint="default" w:ascii="Times New Roman" w:hAnsi="Times New Roman" w:eastAsia="方正仿宋_GBK" w:cs="Times New Roman"/>
          <w:b w:val="0"/>
          <w:bCs w:val="0"/>
          <w:sz w:val="32"/>
          <w:szCs w:val="32"/>
          <w:shd w:val="clear" w:color="auto" w:fill="FFFFFF"/>
        </w:rPr>
        <w:t>发现问题</w:t>
      </w:r>
      <w:r>
        <w:rPr>
          <w:rFonts w:hint="eastAsia" w:ascii="Times New Roman" w:hAnsi="Times New Roman" w:eastAsia="方正仿宋_GBK" w:cs="Times New Roman"/>
          <w:b w:val="0"/>
          <w:bCs w:val="0"/>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firstLine="720" w:firstLineChars="300"/>
        <w:rPr>
          <w:rFonts w:hint="eastAsia" w:ascii="Times New Roman" w:hAnsi="Times New Roman" w:eastAsia="方正仿宋_GBK" w:cs="Times New Roman"/>
          <w:b w:val="0"/>
          <w:bCs w:val="0"/>
          <w:sz w:val="32"/>
          <w:szCs w:val="32"/>
          <w:shd w:val="clear" w:color="auto" w:fill="FFFFFF"/>
          <w:lang w:eastAsia="zh-CN"/>
        </w:rPr>
      </w:pPr>
      <w:r>
        <w:drawing>
          <wp:anchor distT="0" distB="0" distL="114300" distR="114300" simplePos="0" relativeHeight="251659264" behindDoc="1" locked="0" layoutInCell="1" allowOverlap="1">
            <wp:simplePos x="0" y="0"/>
            <wp:positionH relativeFrom="column">
              <wp:posOffset>146050</wp:posOffset>
            </wp:positionH>
            <wp:positionV relativeFrom="paragraph">
              <wp:posOffset>216535</wp:posOffset>
            </wp:positionV>
            <wp:extent cx="5276215" cy="2515235"/>
            <wp:effectExtent l="0" t="0" r="635" b="18415"/>
            <wp:wrapTight wrapText="bothSides">
              <wp:wrapPolygon>
                <wp:start x="0" y="0"/>
                <wp:lineTo x="0" y="21431"/>
                <wp:lineTo x="21525" y="21431"/>
                <wp:lineTo x="2152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6215" cy="2515235"/>
                    </a:xfrm>
                    <a:prstGeom prst="rect">
                      <a:avLst/>
                    </a:prstGeom>
                    <a:noFill/>
                    <a:ln>
                      <a:noFill/>
                    </a:ln>
                  </pic:spPr>
                </pic:pic>
              </a:graphicData>
            </a:graphic>
          </wp:anchor>
        </w:drawing>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val="en-US" w:eastAsia="zh-CN"/>
        </w:rPr>
        <w:t>023-54830024。</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重庆市忠县洋渡镇文化服务中心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100.73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79.34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100.73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100.73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100.73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100.73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重庆市忠县洋渡镇文化服务中心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100.73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100.73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重庆市忠县洋渡镇文化服务中心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100.73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97.73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重庆市忠县洋渡镇文化服务中心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100.73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100.73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100.73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重庆市忠县洋渡镇文化服务中心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88.97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ViNmIwNTQ2OGM0OTIwNTA4ZGQ0MzVkZTg3ZDAzNTg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241CA8"/>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682F03"/>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4C715B"/>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E42BEB"/>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李锝灵</cp:lastModifiedBy>
  <dcterms:modified xsi:type="dcterms:W3CDTF">2024-11-01T01:41:11Z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