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ind w:left="0"/>
        <w:jc w:val="center"/>
        <w:rPr>
          <w:rFonts w:hint="eastAsia" w:ascii="宋体" w:hAnsi="宋体" w:eastAsia="宋体" w:cs="宋体"/>
          <w:kern w:val="0"/>
          <w:sz w:val="24"/>
          <w:szCs w:val="24"/>
        </w:rPr>
      </w:pPr>
      <w:bookmarkStart w:id="0" w:name="_GoBack"/>
      <w:bookmarkEnd w:id="0"/>
      <w:r>
        <w:rPr>
          <w:rFonts w:hint="eastAsia" w:ascii="宋体" w:hAnsi="宋体" w:eastAsia="宋体" w:cs="宋体"/>
          <w:kern w:val="0"/>
          <w:sz w:val="54"/>
          <w:szCs w:val="54"/>
          <w:shd w:val="clear" w:fill="FFFFFF"/>
        </w:rPr>
        <w:t>重庆市忠县野鹤镇农业服务中心</w:t>
      </w:r>
    </w:p>
    <w:p>
      <w:pPr>
        <w:pStyle w:val="4"/>
        <w:keepNext w:val="0"/>
        <w:keepLines w:val="0"/>
        <w:widowControl/>
        <w:suppressLineNumbers w:val="0"/>
        <w:spacing w:before="0" w:beforeAutospacing="0"/>
        <w:ind w:left="0"/>
        <w:jc w:val="center"/>
        <w:rPr>
          <w:rFonts w:hint="eastAsia" w:ascii="宋体" w:hAnsi="宋体" w:eastAsia="宋体" w:cs="宋体"/>
          <w:kern w:val="0"/>
          <w:sz w:val="24"/>
          <w:szCs w:val="24"/>
        </w:rPr>
      </w:pPr>
      <w:r>
        <w:rPr>
          <w:rFonts w:hint="eastAsia" w:ascii="宋体" w:hAnsi="宋体" w:eastAsia="宋体" w:cs="宋体"/>
          <w:kern w:val="0"/>
          <w:sz w:val="54"/>
          <w:szCs w:val="54"/>
          <w:shd w:val="clear" w:fill="FFFFFF"/>
        </w:rPr>
        <w:t>2021年度部门决算情况说明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33"/>
          <w:szCs w:val="33"/>
          <w:shd w:val="clear" w:fill="FFFFFF"/>
        </w:rPr>
        <w:t xml:space="preserve">  </w:t>
      </w:r>
      <w:r>
        <w:rPr>
          <w:rStyle w:val="5"/>
          <w:rFonts w:hint="eastAsia" w:ascii="宋体" w:hAnsi="宋体" w:eastAsia="宋体" w:cs="宋体"/>
          <w:b/>
          <w:bCs/>
          <w:sz w:val="33"/>
          <w:szCs w:val="33"/>
          <w:shd w:val="clear" w:fill="FFFFFF"/>
        </w:rPr>
        <w:t>一、部门基本情况</w:t>
      </w:r>
    </w:p>
    <w:p>
      <w:pPr>
        <w:pStyle w:val="4"/>
        <w:keepNext w:val="0"/>
        <w:keepLines w:val="0"/>
        <w:widowControl/>
        <w:suppressLineNumbers w:val="0"/>
        <w:spacing w:before="0" w:beforeAutospacing="0"/>
        <w:ind w:left="0"/>
        <w:jc w:val="left"/>
        <w:rPr>
          <w:rFonts w:hint="default" w:ascii="Times New Roman" w:hAnsi="Times New Roman" w:eastAsia="宋体" w:cs="Times New Roman"/>
          <w:b/>
          <w:bCs/>
          <w:kern w:val="0"/>
          <w:sz w:val="27"/>
          <w:szCs w:val="27"/>
          <w:shd w:val="clear" w:fill="FFFFFF"/>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（一）职能职责。</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为促进农业发展提供服务。负责农技、农机、林业、养殖、种植、水利水保、水产等方面的重大技术推广、信息服务、资源环境保护、灾害防治等工作</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（二）机构设置。</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内设1个综合办公室和农产品质量安全监管站</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（三）单位构成。</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按单位性质分：本单位为事业单位；从预算单位构成看，本单位为二级预算单位，无下级预算单位；从执行会计制度分，本单位执行事业单位会计制度。</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33"/>
          <w:szCs w:val="33"/>
          <w:shd w:val="clear" w:fill="FFFFFF"/>
        </w:rPr>
        <w:t xml:space="preserve">  </w:t>
      </w:r>
      <w:r>
        <w:rPr>
          <w:rStyle w:val="5"/>
          <w:rFonts w:hint="eastAsia" w:ascii="宋体" w:hAnsi="宋体" w:eastAsia="宋体" w:cs="宋体"/>
          <w:b/>
          <w:bCs/>
          <w:sz w:val="33"/>
          <w:szCs w:val="33"/>
          <w:shd w:val="clear" w:fill="FFFFFF"/>
        </w:rPr>
        <w:t>二、部门决算情况说明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（一）收入支出决算总体情况说明。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Style w:val="5"/>
          <w:rFonts w:hint="default" w:ascii="Times New Roman" w:hAnsi="Times New Roman" w:cs="Times New Roman"/>
          <w:b/>
          <w:bCs/>
          <w:sz w:val="27"/>
          <w:szCs w:val="27"/>
          <w:shd w:val="clear" w:fill="FFFFFF"/>
        </w:rPr>
        <w:t xml:space="preserve">  1.</w:t>
      </w:r>
      <w:r>
        <w:rPr>
          <w:rStyle w:val="5"/>
          <w:rFonts w:hint="eastAsia" w:ascii="宋体" w:hAnsi="宋体" w:eastAsia="宋体" w:cs="宋体"/>
          <w:b/>
          <w:bCs/>
          <w:sz w:val="27"/>
          <w:szCs w:val="27"/>
          <w:shd w:val="clear" w:fill="FFFFFF"/>
        </w:rPr>
        <w:t>总体情况。</w:t>
      </w:r>
      <w:r>
        <w:rPr>
          <w:rFonts w:hint="eastAsia" w:ascii="宋体" w:hAnsi="宋体" w:eastAsia="宋体" w:cs="宋体"/>
          <w:kern w:val="0"/>
          <w:sz w:val="27"/>
          <w:szCs w:val="27"/>
          <w:shd w:val="clear" w:fill="FFFFFF"/>
        </w:rPr>
        <w:t>2021年度收入总计182.34万元，支出总计182.34万元。收支较上年决算数减少5.48万元、下降2.9%，主要原因是人员支出减少。</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2.</w:t>
      </w:r>
      <w:r>
        <w:rPr>
          <w:rStyle w:val="5"/>
          <w:rFonts w:hint="eastAsia" w:ascii="宋体" w:hAnsi="宋体" w:eastAsia="宋体" w:cs="宋体"/>
          <w:b/>
          <w:bCs/>
          <w:sz w:val="27"/>
          <w:szCs w:val="27"/>
          <w:shd w:val="clear" w:fill="FFFFFF"/>
        </w:rPr>
        <w:t>收入情况。</w:t>
      </w:r>
      <w:r>
        <w:rPr>
          <w:rFonts w:hint="eastAsia" w:ascii="宋体" w:hAnsi="宋体" w:eastAsia="宋体" w:cs="宋体"/>
          <w:kern w:val="0"/>
          <w:sz w:val="27"/>
          <w:szCs w:val="27"/>
          <w:shd w:val="clear" w:fill="FFFFFF"/>
        </w:rPr>
        <w:t>2021年度收入合计182.34万元，较上年决算数减少5.48万元，下降2.9%，主要原因是人员支出减少。其中：财政拨款收入182.34万元，占100%。此外，使用非财政拨款结余0.00万元，年初结转和结余0.00万元。</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3.</w:t>
      </w:r>
      <w:r>
        <w:rPr>
          <w:rStyle w:val="5"/>
          <w:rFonts w:hint="eastAsia" w:ascii="宋体" w:hAnsi="宋体" w:eastAsia="宋体" w:cs="宋体"/>
          <w:b/>
          <w:bCs/>
          <w:sz w:val="27"/>
          <w:szCs w:val="27"/>
          <w:shd w:val="clear" w:fill="FFFFFF"/>
        </w:rPr>
        <w:t>支出情况。</w:t>
      </w:r>
      <w:r>
        <w:rPr>
          <w:rFonts w:hint="eastAsia" w:ascii="宋体" w:hAnsi="宋体" w:eastAsia="宋体" w:cs="宋体"/>
          <w:kern w:val="0"/>
          <w:sz w:val="27"/>
          <w:szCs w:val="27"/>
          <w:shd w:val="clear" w:fill="FFFFFF"/>
        </w:rPr>
        <w:t>2021年度支出合计182.34万元，较上年决算数减少5.48万元，下降2.9%，主要原因是人员支出减少。其中：基本支出182.34万元，占100%；经营支出0.00万元，占0%。此外，结余分配0.00万元。</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Style w:val="5"/>
          <w:rFonts w:hint="default" w:ascii="Times New Roman" w:hAnsi="Times New Roman" w:cs="Times New Roman"/>
          <w:b/>
          <w:bCs/>
          <w:sz w:val="27"/>
          <w:szCs w:val="27"/>
          <w:shd w:val="clear" w:fill="FFFFFF"/>
        </w:rPr>
        <w:t xml:space="preserve">  4.</w:t>
      </w:r>
      <w:r>
        <w:rPr>
          <w:rStyle w:val="5"/>
          <w:rFonts w:hint="eastAsia" w:ascii="宋体" w:hAnsi="宋体" w:eastAsia="宋体" w:cs="宋体"/>
          <w:b/>
          <w:bCs/>
          <w:sz w:val="27"/>
          <w:szCs w:val="27"/>
          <w:shd w:val="clear" w:fill="FFFFFF"/>
        </w:rPr>
        <w:t>结转结余情况。</w:t>
      </w:r>
      <w:r>
        <w:rPr>
          <w:rFonts w:hint="eastAsia" w:ascii="宋体" w:hAnsi="宋体" w:eastAsia="宋体" w:cs="宋体"/>
          <w:kern w:val="0"/>
          <w:sz w:val="27"/>
          <w:szCs w:val="27"/>
          <w:shd w:val="clear" w:fill="FFFFFF"/>
        </w:rPr>
        <w:t>2021年度年末结转和结余0.00万元，较上年决算数增加0.00万元，增长0%。</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（二）财政拨款收入支出决算总体情况说明。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2021年度财政拨款收、支总计182.34万元。与2020年相比，财政拨款收、支总计各减少5.48万元，下降2.9%。主要原因是人员支出减少。</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（三）一般公共预算财政拨款收入支出决算情况说明。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1.</w:t>
      </w:r>
      <w:r>
        <w:rPr>
          <w:rStyle w:val="5"/>
          <w:rFonts w:hint="eastAsia" w:ascii="宋体" w:hAnsi="宋体" w:eastAsia="宋体" w:cs="宋体"/>
          <w:b/>
          <w:bCs/>
          <w:sz w:val="27"/>
          <w:szCs w:val="27"/>
          <w:shd w:val="clear" w:fill="FFFFFF"/>
        </w:rPr>
        <w:t>收入情况。</w:t>
      </w:r>
      <w:r>
        <w:rPr>
          <w:rFonts w:hint="eastAsia" w:ascii="宋体" w:hAnsi="宋体" w:eastAsia="宋体" w:cs="宋体"/>
          <w:kern w:val="0"/>
          <w:sz w:val="27"/>
          <w:szCs w:val="27"/>
          <w:shd w:val="clear" w:fill="FFFFFF"/>
        </w:rPr>
        <w:t>2021年度一般公共预算财政拨款收入182.34万元，较上年决算数减少5.48万元，下降2.9%。主要原因是人员支出减少。较年初预算数减少0.60万元，下降0.3%。主要原因是人员支出减少。此外，年初财政拨款结转和结余0.00万元。</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Style w:val="5"/>
          <w:rFonts w:hint="default" w:ascii="Times New Roman" w:hAnsi="Times New Roman" w:cs="Times New Roman"/>
          <w:b/>
          <w:bCs/>
          <w:sz w:val="27"/>
          <w:szCs w:val="27"/>
          <w:shd w:val="clear" w:fill="FFFFFF"/>
        </w:rPr>
        <w:t xml:space="preserve">  2.</w:t>
      </w:r>
      <w:r>
        <w:rPr>
          <w:rStyle w:val="5"/>
          <w:rFonts w:hint="eastAsia" w:ascii="宋体" w:hAnsi="宋体" w:eastAsia="宋体" w:cs="宋体"/>
          <w:b/>
          <w:bCs/>
          <w:sz w:val="27"/>
          <w:szCs w:val="27"/>
          <w:shd w:val="clear" w:fill="FFFFFF"/>
        </w:rPr>
        <w:t>支出情况。</w:t>
      </w:r>
      <w:r>
        <w:rPr>
          <w:rFonts w:hint="eastAsia" w:ascii="宋体" w:hAnsi="宋体" w:eastAsia="宋体" w:cs="宋体"/>
          <w:kern w:val="0"/>
          <w:sz w:val="27"/>
          <w:szCs w:val="27"/>
          <w:shd w:val="clear" w:fill="FFFFFF"/>
        </w:rPr>
        <w:t>2021年度一般公共预算财政拨款支出182.34万元，较上年决算数减少5.48万元，下降2.9%。主要原因是人员支出减少。较年初预算数减少0.60万元，下降0.3%。主要原因是人员支出减少。</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Style w:val="5"/>
          <w:rFonts w:hint="default" w:ascii="Times New Roman" w:hAnsi="Times New Roman" w:cs="Times New Roman"/>
          <w:b/>
          <w:bCs/>
          <w:sz w:val="27"/>
          <w:szCs w:val="27"/>
          <w:shd w:val="clear" w:fill="FFFFFF"/>
        </w:rPr>
        <w:t xml:space="preserve">  3.</w:t>
      </w:r>
      <w:r>
        <w:rPr>
          <w:rStyle w:val="5"/>
          <w:rFonts w:hint="eastAsia" w:ascii="宋体" w:hAnsi="宋体" w:eastAsia="宋体" w:cs="宋体"/>
          <w:b/>
          <w:bCs/>
          <w:sz w:val="27"/>
          <w:szCs w:val="27"/>
          <w:shd w:val="clear" w:fill="FFFFFF"/>
        </w:rPr>
        <w:t>结转结余情况。</w:t>
      </w:r>
      <w:r>
        <w:rPr>
          <w:rFonts w:hint="eastAsia" w:ascii="宋体" w:hAnsi="宋体" w:eastAsia="宋体" w:cs="宋体"/>
          <w:kern w:val="0"/>
          <w:sz w:val="27"/>
          <w:szCs w:val="27"/>
          <w:shd w:val="clear" w:fill="FFFFFF"/>
        </w:rPr>
        <w:t>2021年度年末一般公共预算财政拨款结转和结余0.00万元，较上年决算数增加0.00万元，增长0%。</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Style w:val="5"/>
          <w:rFonts w:hint="default" w:ascii="Times New Roman" w:hAnsi="Times New Roman" w:cs="Times New Roman"/>
          <w:b/>
          <w:bCs/>
          <w:sz w:val="27"/>
          <w:szCs w:val="27"/>
          <w:shd w:val="clear" w:fill="FFFFFF"/>
        </w:rPr>
        <w:t xml:space="preserve">  4.</w:t>
      </w:r>
      <w:r>
        <w:rPr>
          <w:rStyle w:val="5"/>
          <w:rFonts w:hint="eastAsia" w:ascii="宋体" w:hAnsi="宋体" w:eastAsia="宋体" w:cs="宋体"/>
          <w:b/>
          <w:bCs/>
          <w:sz w:val="27"/>
          <w:szCs w:val="27"/>
          <w:shd w:val="clear" w:fill="FFFFFF"/>
        </w:rPr>
        <w:t>比较情况。</w:t>
      </w:r>
      <w:r>
        <w:rPr>
          <w:rFonts w:hint="eastAsia" w:ascii="宋体" w:hAnsi="宋体" w:eastAsia="宋体" w:cs="宋体"/>
          <w:kern w:val="0"/>
          <w:sz w:val="27"/>
          <w:szCs w:val="27"/>
          <w:shd w:val="clear" w:fill="FFFFFF"/>
        </w:rPr>
        <w:t>本部门2021年度一般公共预算财政拨款支出主要用于以下几个方面：</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（1）教育支出0.58万元，占0.3%，较年初预算数增加0.00万元，增长0%，主要原因是严格按照年初预算执行。</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（2）社会保障与就业支出26.80万元，占14.7%，较年初预算数增加2.82万元，增长11.8%，主要原因是退休及在职人员职业年金以前年度补缴。</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（3）卫生健康支出6.16万元，占3.4%，较年初预算数减少0.27万元，下降4.2%，主要原因是医疗保险等缴费减少。</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（4）农林水支出139.72万元，占76.6%，较年初预算数减少3.14万元，下降2.2%，主要原因是提倡节俭，各类支出减少。</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（5）住房保障支出9.08万元，占5%，较年初预算数增加0.00万元，增长0%，主要原因是严格按照年初预算执行。</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（四）一般公共预算财政拨款基本支出决算情况说明。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2021年度一般公共财政拨款基本支出182.34万元。其中：人员经费162.22万元，较上年决算数减少5.48万元，下降3.3%，主要原因是人员支出减少。人员经费用途主要包括基本工资、津贴补贴、绩效工资、超额绩效、平时考核、住房公积金、社会保障缴费等。公用经费20.12万元，较上年决算数增加0.00万元，增长0%。公用经费用途主要包括办公费、差旅费、邮电费、水电费、福利费、工会经费等。</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（五）政府性基金预算收支决算情况说明。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本单位2021年度无政府性基金预算财政拨款收支。</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（六）国有资本经营预算财政拨款支出决算情况说明。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本单位2021年度无国有资本经营预算财政拨款支出。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三、</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三公</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经费情况说明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（一）</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三公</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经费支出总体情况说明。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2021年度“三公”经费支出共计0.64万元，较年初预算数减少0.16万元，下降20%，主要原因是认真贯彻落实</w:t>
      </w:r>
      <w:r>
        <w:rPr>
          <w:rFonts w:hint="eastAsia" w:cs="宋体"/>
          <w:kern w:val="0"/>
          <w:sz w:val="27"/>
          <w:szCs w:val="27"/>
          <w:shd w:val="clear" w:fill="FFFFFF"/>
          <w:lang w:eastAsia="zh-CN"/>
        </w:rPr>
        <w:t>中央八项规定</w:t>
      </w:r>
      <w:r>
        <w:rPr>
          <w:rFonts w:hint="eastAsia" w:ascii="宋体" w:hAnsi="宋体" w:eastAsia="宋体" w:cs="宋体"/>
          <w:kern w:val="0"/>
          <w:sz w:val="27"/>
          <w:szCs w:val="27"/>
          <w:shd w:val="clear" w:fill="FFFFFF"/>
        </w:rPr>
        <w:t>精神和厉行节约要求，按照只减不增的要求从严控制三公经费。较上年支出数减少0.17万元，下降21%，主要原因是认真贯彻落实</w:t>
      </w:r>
      <w:r>
        <w:rPr>
          <w:rFonts w:hint="eastAsia" w:cs="宋体"/>
          <w:kern w:val="0"/>
          <w:sz w:val="27"/>
          <w:szCs w:val="27"/>
          <w:shd w:val="clear" w:fill="FFFFFF"/>
          <w:lang w:eastAsia="zh-CN"/>
        </w:rPr>
        <w:t>中央八项规定</w:t>
      </w:r>
      <w:r>
        <w:rPr>
          <w:rFonts w:hint="eastAsia" w:ascii="宋体" w:hAnsi="宋体" w:eastAsia="宋体" w:cs="宋体"/>
          <w:kern w:val="0"/>
          <w:sz w:val="27"/>
          <w:szCs w:val="27"/>
          <w:shd w:val="clear" w:fill="FFFFFF"/>
        </w:rPr>
        <w:t>精神和厉行节约要求，按照只减不增的要求从严控制三公经费。</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（二）</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三公</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经费分项支出情况。</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2021年度本部门因公出国（境）费用0.00万元，费用支出较年初预算数增加0.00万元，增长0%。较上年支出数增加0.00万元，增长0%。</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公务车购置费0.00万元。费用支出较年初预算数增加0.00万元，增长0%。较上年支出数增加0.00万元，增长0%。</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公务车运行维护费0.00万元，费用支出较年初预算数增加0.00万元，增长0%。较上年支出数增加0.00万元，增长0%。</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公务接待费0.64万元，主要用于接待相关部门检查指导工作发生的接待支出。费用支出较年初预算数减少0.16万元，下降20%，主要原因</w:t>
      </w:r>
      <w:r>
        <w:rPr>
          <w:rFonts w:hint="eastAsia" w:cs="宋体"/>
          <w:kern w:val="0"/>
          <w:sz w:val="27"/>
          <w:szCs w:val="27"/>
          <w:shd w:val="clear" w:fill="FFFFFF"/>
          <w:lang w:eastAsia="zh-CN"/>
        </w:rPr>
        <w:t>是</w:t>
      </w:r>
      <w:r>
        <w:rPr>
          <w:rFonts w:hint="eastAsia" w:ascii="宋体" w:hAnsi="宋体" w:eastAsia="宋体" w:cs="宋体"/>
          <w:kern w:val="0"/>
          <w:sz w:val="27"/>
          <w:szCs w:val="27"/>
          <w:shd w:val="clear" w:fill="FFFFFF"/>
        </w:rPr>
        <w:t>厉行节约的要求。较上年支出数减少0.17万元，下降21%，主要原因</w:t>
      </w:r>
      <w:r>
        <w:rPr>
          <w:rFonts w:hint="eastAsia" w:cs="宋体"/>
          <w:kern w:val="0"/>
          <w:sz w:val="27"/>
          <w:szCs w:val="27"/>
          <w:shd w:val="clear" w:fill="FFFFFF"/>
          <w:lang w:eastAsia="zh-CN"/>
        </w:rPr>
        <w:t>是</w:t>
      </w:r>
      <w:r>
        <w:rPr>
          <w:rFonts w:hint="eastAsia" w:ascii="宋体" w:hAnsi="宋体" w:eastAsia="宋体" w:cs="宋体"/>
          <w:kern w:val="0"/>
          <w:sz w:val="27"/>
          <w:szCs w:val="27"/>
          <w:shd w:val="clear" w:fill="FFFFFF"/>
        </w:rPr>
        <w:t>厉行节约的要求。</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（三）</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三公</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经费实物量情况。</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2021年度本部门因公出国（境）共计0个团组，0人；公务用车购置0辆，公务车保有量为0辆；国内公务接待12批次76人，其中：国内外事接待0批次，0人；国（境）外公务接待0批次，0人。2021年本部门人均接待费83.99元，车均购置费0.00万元，车均维护费0.00万元。</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四、其他需要说明的事项</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（一）一般公共预算财政拨款会议费和培训费情况说明。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本年度会议费支出0.00万元，较上年决算数增加0.00万元，增长0%。本年度培训费支出0.58万元，较上年决算数增加0.34万元，增长141.7%。</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（二）机关运行经费情况说明。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按照部门决算列报口径，我单位不在机关运行经费统计范围之内。</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（三）国有资产占用情况说明。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截至2021年12月31日，本部门共有车辆0辆，其中，副部（省）级及以上领导用车0辆、主要领导干部用车0辆、机要通信用车0辆、应急保障用车0辆、执法执勤用车0辆，特种专业技术用车0辆，离退休干部用车0辆，其他用车0辆。单价50万元（含）以上通用设备0台（套），单价100万元（含）以上专用设备0台（套）。</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（四）政府采购支出情况说明。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2021年度我单位未发生政府采购事项，无相关经费支出。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五、预算绩效管理情况说明</w:t>
      </w:r>
    </w:p>
    <w:p>
      <w:pPr>
        <w:pStyle w:val="4"/>
        <w:keepNext w:val="0"/>
        <w:keepLines w:val="0"/>
        <w:widowControl/>
        <w:suppressLineNumbers w:val="0"/>
        <w:spacing w:before="0" w:beforeAutospacing="0"/>
        <w:ind w:left="0"/>
        <w:jc w:val="left"/>
        <w:rPr>
          <w:rFonts w:hint="eastAsia" w:ascii="宋体" w:hAnsi="宋体" w:eastAsia="宋体" w:cs="宋体"/>
          <w:b/>
          <w:bCs/>
          <w:sz w:val="27"/>
          <w:szCs w:val="27"/>
          <w:shd w:val="clear" w:fill="FFFFFF"/>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（一）预算绩效管理工作开展情况。</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无</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（二）绩效自评结果。</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无</w:t>
      </w:r>
    </w:p>
    <w:p>
      <w:pPr>
        <w:pStyle w:val="4"/>
        <w:keepNext w:val="0"/>
        <w:keepLines w:val="0"/>
        <w:widowControl/>
        <w:numPr>
          <w:ilvl w:val="0"/>
          <w:numId w:val="1"/>
        </w:numPr>
        <w:suppressLineNumbers w:val="0"/>
        <w:spacing w:before="0" w:beforeAutospacing="0"/>
        <w:ind w:left="135" w:leftChars="0" w:firstLine="0" w:firstLineChars="0"/>
        <w:jc w:val="left"/>
        <w:rPr>
          <w:rFonts w:hint="eastAsia" w:ascii="Times New Roman" w:hAnsi="Times New Roman" w:eastAsia="宋体" w:cs="宋体"/>
          <w:b/>
          <w:bCs/>
          <w:sz w:val="27"/>
          <w:szCs w:val="27"/>
          <w:shd w:val="clear" w:fill="FFFF00"/>
        </w:rPr>
      </w:pPr>
      <w:r>
        <w:rPr>
          <w:rStyle w:val="5"/>
          <w:rFonts w:hint="eastAsia" w:ascii="宋体" w:hAnsi="宋体" w:eastAsia="宋体" w:cs="宋体"/>
          <w:b/>
          <w:bCs/>
          <w:sz w:val="27"/>
          <w:szCs w:val="27"/>
          <w:shd w:val="clear" w:fill="FFFFFF"/>
        </w:rPr>
        <w:t>重点绩效评价结果。</w:t>
      </w:r>
    </w:p>
    <w:p>
      <w:pPr>
        <w:pStyle w:val="4"/>
        <w:keepNext w:val="0"/>
        <w:keepLines w:val="0"/>
        <w:widowControl/>
        <w:suppressLineNumbers w:val="0"/>
        <w:spacing w:before="0" w:beforeAutospacing="0"/>
        <w:ind w:left="0"/>
        <w:jc w:val="left"/>
        <w:rPr>
          <w:rFonts w:hint="eastAsia" w:ascii="Times New Roman" w:hAnsi="Times New Roman" w:eastAsia="宋体" w:cs="宋体"/>
          <w:b/>
          <w:bCs/>
          <w:sz w:val="27"/>
          <w:szCs w:val="27"/>
          <w:shd w:val="clear" w:fill="FFFF00"/>
        </w:rPr>
      </w:pPr>
      <w:r>
        <w:rPr>
          <w:rFonts w:hint="eastAsia" w:ascii="宋体" w:hAnsi="宋体" w:eastAsia="宋体" w:cs="宋体"/>
          <w:kern w:val="0"/>
          <w:sz w:val="27"/>
          <w:szCs w:val="27"/>
          <w:shd w:val="clear" w:fill="FFFFFF"/>
        </w:rPr>
        <w:t>无</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六、专业名词解释</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以下为常见专业名词解释目录，仅供参考，部门应根据实际情况进行解释和</w:t>
      </w:r>
      <w:r>
        <w:rPr>
          <w:rStyle w:val="5"/>
          <w:rFonts w:hint="eastAsia" w:ascii="宋体" w:hAnsi="宋体" w:eastAsia="宋体" w:cs="宋体"/>
          <w:b/>
          <w:bCs/>
          <w:sz w:val="27"/>
          <w:szCs w:val="27"/>
          <w:shd w:val="clear" w:fill="FFFFFF"/>
        </w:rPr>
        <w:t>增减</w:t>
      </w:r>
      <w:r>
        <w:rPr>
          <w:rFonts w:hint="eastAsia" w:ascii="宋体" w:hAnsi="宋体" w:eastAsia="宋体" w:cs="宋体"/>
          <w:kern w:val="0"/>
          <w:sz w:val="27"/>
          <w:szCs w:val="27"/>
          <w:shd w:val="clear" w:fill="FFFFFF"/>
        </w:rPr>
        <w:t>。比如可将类级功能科目和经济科目细化解释到项级。若有删减注意调整段落序号。</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（一）财政拨款收入</w:t>
      </w:r>
      <w:r>
        <w:rPr>
          <w:rFonts w:hint="eastAsia" w:ascii="宋体" w:hAnsi="宋体" w:eastAsia="宋体" w:cs="宋体"/>
          <w:kern w:val="0"/>
          <w:sz w:val="27"/>
          <w:szCs w:val="27"/>
          <w:shd w:val="clear" w:fill="FFFFFF"/>
        </w:rPr>
        <w:t>：指本年度从本级财政部门取得的财政拨款，包括一般公共预算财政拨款和政府性基金预算财政拨款。</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（二）事业收入</w:t>
      </w:r>
      <w:r>
        <w:rPr>
          <w:rFonts w:hint="eastAsia" w:ascii="宋体" w:hAnsi="宋体" w:eastAsia="宋体" w:cs="宋体"/>
          <w:kern w:val="0"/>
          <w:sz w:val="27"/>
          <w:szCs w:val="27"/>
          <w:shd w:val="clear" w:fill="FFFFFF"/>
        </w:rPr>
        <w:t>：指事业单位开展专业业务活动及其辅助活动取得的现金流入；事业单位收到的财政专户实际核拨的教育收费等资金在此反映。</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（三）经营收入</w:t>
      </w:r>
      <w:r>
        <w:rPr>
          <w:rFonts w:hint="eastAsia" w:ascii="宋体" w:hAnsi="宋体" w:eastAsia="宋体" w:cs="宋体"/>
          <w:kern w:val="0"/>
          <w:sz w:val="27"/>
          <w:szCs w:val="27"/>
          <w:shd w:val="clear" w:fill="FFFFFF"/>
        </w:rPr>
        <w:t>：指事业单位在专业业务活动及其辅助活动之外开展非独立核算经营活动取得的现金流入。</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（四）其他收入</w:t>
      </w:r>
      <w:r>
        <w:rPr>
          <w:rFonts w:hint="eastAsia" w:ascii="宋体" w:hAnsi="宋体" w:eastAsia="宋体" w:cs="宋体"/>
          <w:kern w:val="0"/>
          <w:sz w:val="27"/>
          <w:szCs w:val="27"/>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（五）使用非财政拨款结余</w:t>
      </w:r>
      <w:r>
        <w:rPr>
          <w:rFonts w:hint="eastAsia" w:ascii="宋体" w:hAnsi="宋体" w:eastAsia="宋体" w:cs="宋体"/>
          <w:kern w:val="0"/>
          <w:sz w:val="27"/>
          <w:szCs w:val="27"/>
          <w:shd w:val="clear" w:fill="FFFFFF"/>
        </w:rPr>
        <w:t>：指单位在当年的“财政拨款收入”、“事业收入”、“经营收入”、“其他收入”等不足以安排当年支出的情况下，使用以前年度积累的非财政拨款结余弥补本年度收支缺口的资金。</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（六）年初结转和结余</w:t>
      </w:r>
      <w:r>
        <w:rPr>
          <w:rFonts w:hint="eastAsia" w:ascii="宋体" w:hAnsi="宋体" w:eastAsia="宋体" w:cs="宋体"/>
          <w:kern w:val="0"/>
          <w:sz w:val="27"/>
          <w:szCs w:val="27"/>
          <w:shd w:val="clear" w:fill="FFFFFF"/>
        </w:rPr>
        <w:t>：指单位上年结转本年使用的基本支出结转、项目支出结转和结余、经营结余。</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（七）结余分配</w:t>
      </w:r>
      <w:r>
        <w:rPr>
          <w:rFonts w:hint="eastAsia" w:ascii="宋体" w:hAnsi="宋体" w:eastAsia="宋体" w:cs="宋体"/>
          <w:kern w:val="0"/>
          <w:sz w:val="27"/>
          <w:szCs w:val="27"/>
          <w:shd w:val="clear" w:fill="FFFFFF"/>
        </w:rPr>
        <w:t>：指单位按照国家有关规定，缴纳所得税、提取专用基金、转入非财政拨款结余等当年结余的分配情况。</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（八）年末结转和结余</w:t>
      </w:r>
      <w:r>
        <w:rPr>
          <w:rFonts w:hint="eastAsia" w:ascii="宋体" w:hAnsi="宋体" w:eastAsia="宋体" w:cs="宋体"/>
          <w:kern w:val="0"/>
          <w:sz w:val="27"/>
          <w:szCs w:val="27"/>
          <w:shd w:val="clear" w:fill="FFFFFF"/>
        </w:rPr>
        <w:t>：指单位结转下年的基本支出结转、项目支出结转和结余、经营结余。</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（九）基本支出</w:t>
      </w:r>
      <w:r>
        <w:rPr>
          <w:rFonts w:hint="eastAsia" w:ascii="宋体" w:hAnsi="宋体" w:eastAsia="宋体" w:cs="宋体"/>
          <w:kern w:val="0"/>
          <w:sz w:val="27"/>
          <w:szCs w:val="27"/>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（十）项目支出</w:t>
      </w:r>
      <w:r>
        <w:rPr>
          <w:rFonts w:hint="eastAsia" w:ascii="宋体" w:hAnsi="宋体" w:eastAsia="宋体" w:cs="宋体"/>
          <w:kern w:val="0"/>
          <w:sz w:val="27"/>
          <w:szCs w:val="27"/>
          <w:shd w:val="clear" w:fill="FFFFFF"/>
        </w:rPr>
        <w:t>：指在基本支出之外为完成特定行政任务和事业发展目标所发生的支出。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（十一）经营支出</w:t>
      </w:r>
      <w:r>
        <w:rPr>
          <w:rFonts w:hint="eastAsia" w:ascii="宋体" w:hAnsi="宋体" w:eastAsia="宋体" w:cs="宋体"/>
          <w:kern w:val="0"/>
          <w:sz w:val="27"/>
          <w:szCs w:val="27"/>
          <w:shd w:val="clear" w:fill="FFFFFF"/>
        </w:rPr>
        <w:t>：指事业单位在专业业务活动及其辅助活动之外开展非独立核算经营活动发生的支出。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（十二）</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三公</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经费</w:t>
      </w:r>
      <w:r>
        <w:rPr>
          <w:rFonts w:hint="eastAsia" w:ascii="宋体" w:hAnsi="宋体" w:eastAsia="宋体" w:cs="宋体"/>
          <w:kern w:val="0"/>
          <w:sz w:val="27"/>
          <w:szCs w:val="27"/>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（十三）机关运行经费</w:t>
      </w:r>
      <w:r>
        <w:rPr>
          <w:rFonts w:hint="eastAsia" w:ascii="宋体" w:hAnsi="宋体" w:eastAsia="宋体" w:cs="宋体"/>
          <w:kern w:val="0"/>
          <w:sz w:val="27"/>
          <w:szCs w:val="27"/>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（十四）工资福利支出（支出经济分类科目类级）</w:t>
      </w:r>
      <w:r>
        <w:rPr>
          <w:rFonts w:hint="eastAsia" w:ascii="宋体" w:hAnsi="宋体" w:eastAsia="宋体" w:cs="宋体"/>
          <w:kern w:val="0"/>
          <w:sz w:val="27"/>
          <w:szCs w:val="27"/>
          <w:shd w:val="clear" w:fill="FFFFFF"/>
        </w:rPr>
        <w:t>：反映单位开支的在职职工和编制外长期聘用人员的各类劳动报酬，以及为上述人员缴纳的各项社会保险费等。</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（十五）商品和服务支出（支出经济分类科目类级）</w:t>
      </w:r>
      <w:r>
        <w:rPr>
          <w:rFonts w:hint="eastAsia" w:ascii="宋体" w:hAnsi="宋体" w:eastAsia="宋体" w:cs="宋体"/>
          <w:kern w:val="0"/>
          <w:sz w:val="27"/>
          <w:szCs w:val="27"/>
          <w:shd w:val="clear" w:fill="FFFFFF"/>
        </w:rPr>
        <w:t>：反映单位购买商品和服务的支出（不包括用于购置固定资产的支出、战略性和应急储备支出）。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（十六）对个人和家庭的补助（支出经济分类科目类级）</w:t>
      </w:r>
      <w:r>
        <w:rPr>
          <w:rFonts w:hint="eastAsia" w:ascii="宋体" w:hAnsi="宋体" w:eastAsia="宋体" w:cs="宋体"/>
          <w:kern w:val="0"/>
          <w:sz w:val="27"/>
          <w:szCs w:val="27"/>
          <w:shd w:val="clear" w:fill="FFFFFF"/>
        </w:rPr>
        <w:t>：反映用于对个人和家庭的补助支出。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（十七）其他资本性支出（支出经济分类科目类级）</w:t>
      </w:r>
      <w:r>
        <w:rPr>
          <w:rFonts w:hint="eastAsia" w:ascii="宋体" w:hAnsi="宋体" w:eastAsia="宋体" w:cs="宋体"/>
          <w:kern w:val="0"/>
          <w:sz w:val="27"/>
          <w:szCs w:val="27"/>
          <w:shd w:val="clear" w:fill="FFFFFF"/>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七、决算公开联系方式及信息反馈渠道</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本单位决算公开信息反馈和联系方式：023-54727026</w:t>
      </w:r>
    </w:p>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E9BC8F"/>
    <w:multiLevelType w:val="multilevel"/>
    <w:tmpl w:val="D2E9BC8F"/>
    <w:lvl w:ilvl="0" w:tentative="0">
      <w:start w:val="3"/>
      <w:numFmt w:val="chineseCounting"/>
      <w:suff w:val="nothing"/>
      <w:lvlText w:val="（%1）"/>
      <w:lvlJc w:val="left"/>
      <w:pPr>
        <w:ind w:left="135"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A2YTkyYWM2MGMyMDQ2ZTJjMjEyNWI1MjdmZGQifQ=="/>
  </w:docVars>
  <w:rsids>
    <w:rsidRoot w:val="10D53733"/>
    <w:rsid w:val="10D53733"/>
    <w:rsid w:val="32F73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5">
    <w:name w:val="16"/>
    <w:basedOn w:val="3"/>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3879</Words>
  <Characters>4265</Characters>
  <Lines>0</Lines>
  <Paragraphs>0</Paragraphs>
  <TotalTime>0</TotalTime>
  <ScaleCrop>false</ScaleCrop>
  <LinksUpToDate>false</LinksUpToDate>
  <CharactersWithSpaces>4399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2022-09-27T06:33:00Z</dcterms:created>
  <dc:creator>祸害遗千年</dc:creator>
  <cp:lastModifiedBy>祸害遗千年</cp:lastModifiedBy>
  <dcterms:modified xsi:type="dcterms:W3CDTF">2022-09-27T06:34:29Z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F89461F425AA4968B51B2B989E10A629</vt:lpwstr>
  </property>
</Properties>
</file>