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ind w:left="0"/>
        <w:jc w:val="center"/>
        <w:rPr>
          <w:rFonts w:hint="eastAsia" w:ascii="宋体" w:hAnsi="宋体" w:eastAsia="宋体" w:cs="宋体"/>
          <w:kern w:val="0"/>
          <w:sz w:val="24"/>
          <w:szCs w:val="24"/>
        </w:rPr>
      </w:pPr>
      <w:r>
        <w:rPr>
          <w:rFonts w:hint="eastAsia" w:ascii="宋体" w:hAnsi="宋体" w:eastAsia="宋体" w:cs="宋体"/>
          <w:kern w:val="0"/>
          <w:sz w:val="54"/>
          <w:szCs w:val="54"/>
          <w:shd w:val="clear" w:fill="FFFFFF"/>
        </w:rPr>
        <w:t>重庆市忠县野鹤镇人民政府</w:t>
      </w:r>
    </w:p>
    <w:p>
      <w:pPr>
        <w:pStyle w:val="4"/>
        <w:keepNext w:val="0"/>
        <w:keepLines w:val="0"/>
        <w:widowControl/>
        <w:suppressLineNumbers w:val="0"/>
        <w:spacing w:before="0" w:beforeAutospacing="0"/>
        <w:ind w:left="0"/>
        <w:jc w:val="center"/>
        <w:rPr>
          <w:rFonts w:hint="eastAsia" w:ascii="宋体" w:hAnsi="宋体" w:eastAsia="宋体" w:cs="宋体"/>
          <w:kern w:val="0"/>
          <w:sz w:val="24"/>
          <w:szCs w:val="24"/>
        </w:rPr>
      </w:pPr>
      <w:r>
        <w:rPr>
          <w:rFonts w:hint="eastAsia" w:ascii="宋体" w:hAnsi="宋体" w:eastAsia="宋体" w:cs="宋体"/>
          <w:kern w:val="0"/>
          <w:sz w:val="54"/>
          <w:szCs w:val="54"/>
          <w:shd w:val="clear" w:fill="FFFFFF"/>
        </w:rPr>
        <w:t>2021年度部门决算情况说明</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33"/>
          <w:szCs w:val="33"/>
          <w:shd w:val="clear" w:fill="FFFFFF"/>
        </w:rPr>
        <w:t xml:space="preserve">  </w:t>
      </w:r>
      <w:r>
        <w:rPr>
          <w:rStyle w:val="5"/>
          <w:rFonts w:hint="eastAsia" w:ascii="宋体" w:hAnsi="宋体" w:eastAsia="宋体" w:cs="宋体"/>
          <w:b/>
          <w:bCs/>
          <w:sz w:val="33"/>
          <w:szCs w:val="33"/>
          <w:shd w:val="clear" w:fill="FFFFFF"/>
        </w:rPr>
        <w:t>一、部门基本情况</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（一）职能职责。</w:t>
      </w:r>
    </w:p>
    <w:p>
      <w:pPr>
        <w:pStyle w:val="4"/>
        <w:keepNext w:val="0"/>
        <w:keepLines w:val="0"/>
        <w:widowControl/>
        <w:suppressLineNumbers w:val="0"/>
        <w:spacing w:before="0" w:beforeAutospacing="0"/>
        <w:ind w:left="0" w:firstLine="270" w:firstLineChars="100"/>
        <w:jc w:val="left"/>
        <w:rPr>
          <w:rFonts w:hint="eastAsia" w:ascii="宋体" w:hAnsi="宋体" w:eastAsia="宋体" w:cs="宋体"/>
          <w:kern w:val="0"/>
          <w:sz w:val="27"/>
          <w:szCs w:val="27"/>
          <w:shd w:val="clear" w:fill="FFFFFF"/>
        </w:rPr>
      </w:pPr>
      <w:r>
        <w:rPr>
          <w:rFonts w:hint="eastAsia" w:ascii="宋体" w:hAnsi="宋体" w:eastAsia="宋体" w:cs="宋体"/>
          <w:color w:val="FF0000"/>
          <w:kern w:val="0"/>
          <w:sz w:val="27"/>
          <w:szCs w:val="27"/>
          <w:shd w:val="clear" w:fill="FFFFFF"/>
        </w:rPr>
        <w:t xml:space="preserve">  </w:t>
      </w:r>
      <w:r>
        <w:rPr>
          <w:rFonts w:hint="eastAsia" w:ascii="宋体" w:hAnsi="宋体" w:eastAsia="宋体" w:cs="宋体"/>
          <w:kern w:val="0"/>
          <w:sz w:val="27"/>
          <w:szCs w:val="27"/>
          <w:shd w:val="clear" w:fill="FFFFFF"/>
        </w:rPr>
        <w:t>1、贯彻执行国家方针政策、法律法规和上级行政机关的决定、命令，调查研究并拟定适合本镇实际的具体政策措施。</w:t>
      </w:r>
    </w:p>
    <w:p>
      <w:pPr>
        <w:pStyle w:val="4"/>
        <w:keepNext w:val="0"/>
        <w:keepLines w:val="0"/>
        <w:widowControl/>
        <w:suppressLineNumbers w:val="0"/>
        <w:spacing w:before="0" w:beforeAutospacing="0"/>
        <w:ind w:left="0" w:firstLine="270" w:firstLineChars="10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2、推动产业结构调整，转变农业发展方式，优化发展环境，大力发展休闲旅游业、现代农业和现代服务业，着力构建绿色高端高效经济体系。</w:t>
      </w:r>
    </w:p>
    <w:p>
      <w:pPr>
        <w:pStyle w:val="4"/>
        <w:keepNext w:val="0"/>
        <w:keepLines w:val="0"/>
        <w:widowControl/>
        <w:suppressLineNumbers w:val="0"/>
        <w:spacing w:before="0" w:beforeAutospacing="0"/>
        <w:ind w:left="0" w:firstLine="270" w:firstLineChars="10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3、组织制定并落实本级行政区域的经济和社会发展的中长期规划，搞好经济发展的总体布局和产业布局，促进产业结构调整，制定并组织实施全镇美丽乡村建设的规划和措施，提高人民群众的生活水平和生活质量。</w:t>
      </w:r>
    </w:p>
    <w:p>
      <w:pPr>
        <w:pStyle w:val="4"/>
        <w:keepNext w:val="0"/>
        <w:keepLines w:val="0"/>
        <w:widowControl/>
        <w:suppressLineNumbers w:val="0"/>
        <w:spacing w:before="0" w:beforeAutospacing="0"/>
        <w:ind w:left="0" w:firstLine="270" w:firstLineChars="10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4、不断强化社会维稳体系，加强农村社会治安综合治理，防范和化解农村社会矛盾，确保社会稳定。</w:t>
      </w:r>
    </w:p>
    <w:p>
      <w:pPr>
        <w:pStyle w:val="4"/>
        <w:keepNext w:val="0"/>
        <w:keepLines w:val="0"/>
        <w:widowControl/>
        <w:suppressLineNumbers w:val="0"/>
        <w:spacing w:before="0" w:beforeAutospacing="0"/>
        <w:ind w:left="0" w:firstLine="270" w:firstLineChars="10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5、制定并组织实施村镇建设规划，部署重点工程建设，地方道路建设及公共设施、水利设施的管理，负责土地、林木、水等自然资源和生态环境的保护，做好护林防火工作。</w:t>
      </w:r>
    </w:p>
    <w:p>
      <w:pPr>
        <w:pStyle w:val="4"/>
        <w:keepNext w:val="0"/>
        <w:keepLines w:val="0"/>
        <w:widowControl/>
        <w:suppressLineNumbers w:val="0"/>
        <w:spacing w:before="0" w:beforeAutospacing="0"/>
        <w:ind w:left="0" w:firstLine="270" w:firstLineChars="10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6、负责制订全镇义务教育、卫生工作计划和各项目标任务指标的分解落实。</w:t>
      </w:r>
    </w:p>
    <w:p>
      <w:pPr>
        <w:pStyle w:val="4"/>
        <w:keepNext w:val="0"/>
        <w:keepLines w:val="0"/>
        <w:widowControl/>
        <w:suppressLineNumbers w:val="0"/>
        <w:spacing w:before="0" w:beforeAutospacing="0"/>
        <w:ind w:left="0" w:firstLine="270" w:firstLineChars="10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7、编制镇级财政预决算计划，做好经费的划拨和核算工作，指导、协调、监督村级财务及农村互助社工作。</w:t>
      </w:r>
    </w:p>
    <w:p>
      <w:pPr>
        <w:pStyle w:val="4"/>
        <w:keepNext w:val="0"/>
        <w:keepLines w:val="0"/>
        <w:widowControl/>
        <w:suppressLineNumbers w:val="0"/>
        <w:spacing w:before="0" w:beforeAutospacing="0"/>
        <w:ind w:left="0" w:firstLine="270" w:firstLineChars="10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8、负责做好全镇党的建设、宣传、教育、精神文明建设，指导工、青、妇群团工作。</w:t>
      </w:r>
    </w:p>
    <w:p>
      <w:pPr>
        <w:pStyle w:val="4"/>
        <w:keepNext w:val="0"/>
        <w:keepLines w:val="0"/>
        <w:widowControl/>
        <w:suppressLineNumbers w:val="0"/>
        <w:spacing w:before="0" w:beforeAutospacing="0"/>
        <w:ind w:left="0" w:firstLine="270" w:firstLineChars="10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9、负责全镇机关干部和村居、事业单位干部的管理、监督及年度考核工作;负责制订后备干部的培养计划和党员的发展教育工作。</w:t>
      </w:r>
    </w:p>
    <w:p>
      <w:pPr>
        <w:pStyle w:val="4"/>
        <w:keepNext w:val="0"/>
        <w:keepLines w:val="0"/>
        <w:widowControl/>
        <w:suppressLineNumbers w:val="0"/>
        <w:spacing w:before="0" w:beforeAutospacing="0"/>
        <w:ind w:left="0" w:firstLine="270" w:firstLineChars="10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10、负责做好兵员征集、现役军人家庭优抚、退伍军人安置、救灾救济、农村社会保险等工作。</w:t>
      </w:r>
    </w:p>
    <w:p>
      <w:pPr>
        <w:pStyle w:val="4"/>
        <w:keepNext w:val="0"/>
        <w:keepLines w:val="0"/>
        <w:widowControl/>
        <w:suppressLineNumbers w:val="0"/>
        <w:spacing w:before="0" w:beforeAutospacing="0"/>
        <w:ind w:left="0" w:firstLine="270" w:firstLineChars="10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11、承办上级政府及其工作部门交办的其他事项。</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（二）机构设置。</w:t>
      </w:r>
    </w:p>
    <w:p>
      <w:pPr>
        <w:pStyle w:val="4"/>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rFonts w:hint="eastAsia" w:ascii="宋体" w:hAnsi="宋体" w:eastAsia="宋体" w:cs="宋体"/>
          <w:color w:val="FF0000"/>
          <w:kern w:val="0"/>
          <w:sz w:val="27"/>
          <w:szCs w:val="27"/>
          <w:shd w:val="clear" w:fill="FFFFFF"/>
        </w:rPr>
        <w:t xml:space="preserve">  </w:t>
      </w:r>
      <w:r>
        <w:rPr>
          <w:rFonts w:hint="eastAsia" w:ascii="宋体" w:hAnsi="宋体" w:eastAsia="宋体" w:cs="宋体"/>
          <w:kern w:val="0"/>
          <w:sz w:val="27"/>
          <w:szCs w:val="27"/>
          <w:shd w:val="clear" w:fill="FFFFFF"/>
        </w:rPr>
        <w:t>政府统一规范设置综合办事机构8个, 包括：党政办公室、党群办公室、财政办公室、经济发展办公室、民政和社会事务办公室、平安建设办公室、应急管理办公室、规划建设管理环保办公室。</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（三）单位构成。</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27"/>
          <w:szCs w:val="27"/>
          <w:shd w:val="clear" w:fill="FFFFFF"/>
        </w:rPr>
        <w:t xml:space="preserve">  按单位性质分：本单位为行政单位；从预算单位构成看，本单位为二级预算单位，无下级预算单位；从执行会计制度分，本单位执行行政单位会计制度。</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33"/>
          <w:szCs w:val="33"/>
          <w:shd w:val="clear" w:fill="FFFFFF"/>
        </w:rPr>
        <w:t xml:space="preserve">  </w:t>
      </w:r>
      <w:r>
        <w:rPr>
          <w:rStyle w:val="5"/>
          <w:rFonts w:hint="eastAsia" w:ascii="宋体" w:hAnsi="宋体" w:eastAsia="宋体" w:cs="宋体"/>
          <w:b/>
          <w:bCs/>
          <w:sz w:val="33"/>
          <w:szCs w:val="33"/>
          <w:shd w:val="clear" w:fill="FFFFFF"/>
        </w:rPr>
        <w:t>二、部门决算情况说明</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（一）收入支出决算总体情况说明。</w:t>
      </w:r>
    </w:p>
    <w:p>
      <w:pPr>
        <w:pStyle w:val="4"/>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rStyle w:val="5"/>
          <w:rFonts w:hint="default" w:ascii="Times New Roman" w:hAnsi="Times New Roman" w:cs="Times New Roman"/>
          <w:b/>
          <w:bCs/>
          <w:sz w:val="27"/>
          <w:szCs w:val="27"/>
          <w:shd w:val="clear" w:fill="FFFFFF"/>
        </w:rPr>
        <w:t xml:space="preserve">  1.</w:t>
      </w:r>
      <w:r>
        <w:rPr>
          <w:rStyle w:val="5"/>
          <w:rFonts w:hint="eastAsia" w:ascii="宋体" w:hAnsi="宋体" w:eastAsia="宋体" w:cs="宋体"/>
          <w:b/>
          <w:bCs/>
          <w:sz w:val="27"/>
          <w:szCs w:val="27"/>
          <w:shd w:val="clear" w:fill="FFFFFF"/>
        </w:rPr>
        <w:t>总体情况。</w:t>
      </w:r>
      <w:r>
        <w:rPr>
          <w:rFonts w:hint="eastAsia" w:ascii="宋体" w:hAnsi="宋体" w:eastAsia="宋体" w:cs="宋体"/>
          <w:kern w:val="0"/>
          <w:sz w:val="27"/>
          <w:szCs w:val="27"/>
          <w:shd w:val="clear" w:fill="FFFFFF"/>
        </w:rPr>
        <w:t>2021年度收入总计2,388.62万元，支出总计2,388.62万元。收支较上年决算数减少732.15万元、下降23.5%，主要原因是对工程项目的投入力度有所减少。</w:t>
      </w:r>
    </w:p>
    <w:p>
      <w:pPr>
        <w:pStyle w:val="4"/>
        <w:keepNext w:val="0"/>
        <w:keepLines w:val="0"/>
        <w:widowControl/>
        <w:suppressLineNumbers w:val="0"/>
        <w:spacing w:before="0" w:beforeAutospacing="0"/>
        <w:ind w:left="0"/>
        <w:jc w:val="left"/>
        <w:rPr>
          <w:rFonts w:hint="eastAsia" w:ascii="宋体" w:hAnsi="宋体" w:eastAsia="宋体" w:cs="宋体"/>
          <w:b/>
          <w:bCs/>
          <w:kern w:val="0"/>
          <w:sz w:val="24"/>
          <w:szCs w:val="24"/>
        </w:rPr>
      </w:pPr>
      <w:r>
        <w:rPr>
          <w:rStyle w:val="5"/>
          <w:rFonts w:hint="default" w:ascii="Times New Roman" w:hAnsi="Times New Roman" w:cs="Times New Roman"/>
          <w:b/>
          <w:bCs/>
          <w:sz w:val="27"/>
          <w:szCs w:val="27"/>
          <w:shd w:val="clear" w:fill="FFFFFF"/>
        </w:rPr>
        <w:t xml:space="preserve">  2.</w:t>
      </w:r>
      <w:r>
        <w:rPr>
          <w:rStyle w:val="5"/>
          <w:rFonts w:hint="eastAsia" w:ascii="宋体" w:hAnsi="宋体" w:eastAsia="宋体" w:cs="宋体"/>
          <w:b/>
          <w:bCs/>
          <w:sz w:val="27"/>
          <w:szCs w:val="27"/>
          <w:shd w:val="clear" w:fill="FFFFFF"/>
        </w:rPr>
        <w:t>收入情况。</w:t>
      </w:r>
      <w:r>
        <w:rPr>
          <w:rFonts w:hint="eastAsia" w:ascii="宋体" w:hAnsi="宋体" w:eastAsia="宋体" w:cs="宋体"/>
          <w:kern w:val="0"/>
          <w:sz w:val="27"/>
          <w:szCs w:val="27"/>
          <w:shd w:val="clear" w:fill="FFFFFF"/>
        </w:rPr>
        <w:t>2021年度收入合计2,388.62万元，较上年决算数减少732.15万元，下降23.5%，主要原因是对工程项目的投入力度有所减少。其中：财政拨款收入2,388.62万元，占100%。此外，使用非财政拨款结余0.00万元，年初结转和结余0.00万元。</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3.</w:t>
      </w:r>
      <w:r>
        <w:rPr>
          <w:rStyle w:val="5"/>
          <w:rFonts w:hint="eastAsia" w:ascii="宋体" w:hAnsi="宋体" w:eastAsia="宋体" w:cs="宋体"/>
          <w:b/>
          <w:bCs/>
          <w:sz w:val="27"/>
          <w:szCs w:val="27"/>
          <w:shd w:val="clear" w:fill="FFFFFF"/>
        </w:rPr>
        <w:t>支出情况。</w:t>
      </w:r>
      <w:r>
        <w:rPr>
          <w:rFonts w:hint="eastAsia" w:ascii="宋体" w:hAnsi="宋体" w:eastAsia="宋体" w:cs="宋体"/>
          <w:kern w:val="0"/>
          <w:sz w:val="27"/>
          <w:szCs w:val="27"/>
          <w:shd w:val="clear" w:fill="FFFFFF"/>
        </w:rPr>
        <w:t>2021年度支出合计2,388.62万元，较上年决算数减少732.15万元，下降23.5%，主要原因是对工程项目的投入力度有所减少。其中：基本支出962.39万元，占40.3%；项目支出1,426.23万元，占59.7%。此外，结余分配0.00万元。</w:t>
      </w:r>
    </w:p>
    <w:p>
      <w:pPr>
        <w:pStyle w:val="4"/>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rStyle w:val="5"/>
          <w:rFonts w:hint="default" w:ascii="Times New Roman" w:hAnsi="Times New Roman" w:cs="Times New Roman"/>
          <w:b/>
          <w:bCs/>
          <w:sz w:val="27"/>
          <w:szCs w:val="27"/>
          <w:shd w:val="clear" w:fill="FFFFFF"/>
        </w:rPr>
        <w:t xml:space="preserve">  4.</w:t>
      </w:r>
      <w:r>
        <w:rPr>
          <w:rStyle w:val="5"/>
          <w:rFonts w:hint="eastAsia" w:ascii="宋体" w:hAnsi="宋体" w:eastAsia="宋体" w:cs="宋体"/>
          <w:b/>
          <w:bCs/>
          <w:sz w:val="27"/>
          <w:szCs w:val="27"/>
          <w:shd w:val="clear" w:fill="FFFFFF"/>
        </w:rPr>
        <w:t>结转结余情况。</w:t>
      </w:r>
      <w:r>
        <w:rPr>
          <w:rFonts w:hint="eastAsia" w:ascii="宋体" w:hAnsi="宋体" w:eastAsia="宋体" w:cs="宋体"/>
          <w:kern w:val="0"/>
          <w:sz w:val="27"/>
          <w:szCs w:val="27"/>
          <w:shd w:val="clear" w:fill="FFFFFF"/>
        </w:rPr>
        <w:t>2021年度年末结转和结余0.00万元，较上年决算数增加0.00万元，增长0%，主要原因是本单位收支平衡。</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（二）财政拨款收入支出决算总体情况说明。</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27"/>
          <w:szCs w:val="27"/>
          <w:shd w:val="clear" w:fill="FFFFFF"/>
        </w:rPr>
        <w:t>2021年度财政拨款收、支总计2,388.62万元。与2020年相比，财政拨款收、支总计各减少732.15万元，下降23.5%。主要原因是对工程项目的投入力度有所减少。</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（三）一般公共预算财政拨款收入支出决算情况说明。</w:t>
      </w:r>
    </w:p>
    <w:p>
      <w:pPr>
        <w:pStyle w:val="4"/>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rStyle w:val="5"/>
          <w:rFonts w:hint="default" w:ascii="Times New Roman" w:hAnsi="Times New Roman" w:cs="Times New Roman"/>
          <w:b/>
          <w:bCs/>
          <w:sz w:val="27"/>
          <w:szCs w:val="27"/>
          <w:shd w:val="clear" w:fill="FFFFFF"/>
        </w:rPr>
        <w:t xml:space="preserve">  1.</w:t>
      </w:r>
      <w:r>
        <w:rPr>
          <w:rStyle w:val="5"/>
          <w:rFonts w:hint="eastAsia" w:ascii="宋体" w:hAnsi="宋体" w:eastAsia="宋体" w:cs="宋体"/>
          <w:b/>
          <w:bCs/>
          <w:sz w:val="27"/>
          <w:szCs w:val="27"/>
          <w:shd w:val="clear" w:fill="FFFFFF"/>
        </w:rPr>
        <w:t>收入情况。</w:t>
      </w:r>
      <w:r>
        <w:rPr>
          <w:rFonts w:hint="eastAsia" w:ascii="宋体" w:hAnsi="宋体" w:eastAsia="宋体" w:cs="宋体"/>
          <w:kern w:val="0"/>
          <w:sz w:val="27"/>
          <w:szCs w:val="27"/>
          <w:shd w:val="clear" w:fill="FFFFFF"/>
        </w:rPr>
        <w:t>2021年度一般公共预算财政拨款收入2,388.62万元，较上年决算数减少710.69万元，下降22.9%。主要原因是对工程项目的投入力度有所减少。较年初预算数增加663.67万元，增长38.5%。主要原因是人员经费增加。此外，年初财政拨款结转和结余0.00万元。</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2.</w:t>
      </w:r>
      <w:r>
        <w:rPr>
          <w:rStyle w:val="5"/>
          <w:rFonts w:hint="eastAsia" w:ascii="宋体" w:hAnsi="宋体" w:eastAsia="宋体" w:cs="宋体"/>
          <w:b/>
          <w:bCs/>
          <w:sz w:val="27"/>
          <w:szCs w:val="27"/>
          <w:shd w:val="clear" w:fill="FFFFFF"/>
        </w:rPr>
        <w:t>支出情况。</w:t>
      </w:r>
      <w:r>
        <w:rPr>
          <w:rFonts w:hint="eastAsia" w:ascii="宋体" w:hAnsi="宋体" w:eastAsia="宋体" w:cs="宋体"/>
          <w:kern w:val="0"/>
          <w:sz w:val="27"/>
          <w:szCs w:val="27"/>
          <w:shd w:val="clear" w:fill="FFFFFF"/>
        </w:rPr>
        <w:t>2021年度一般公共预算财政拨款支出2,388.62万元，较上年决算数减少710.69万元，下降22.9%。主要原因是对工程项目的投入力度有所减少。较年初预算数增加663.67万元，增长38.5%。主要原因是人员经费增加。</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3.</w:t>
      </w:r>
      <w:r>
        <w:rPr>
          <w:rStyle w:val="5"/>
          <w:rFonts w:hint="eastAsia" w:ascii="宋体" w:hAnsi="宋体" w:eastAsia="宋体" w:cs="宋体"/>
          <w:b/>
          <w:bCs/>
          <w:sz w:val="27"/>
          <w:szCs w:val="27"/>
          <w:shd w:val="clear" w:fill="FFFFFF"/>
        </w:rPr>
        <w:t>结转结余情况。</w:t>
      </w:r>
      <w:r>
        <w:rPr>
          <w:rFonts w:hint="eastAsia" w:ascii="宋体" w:hAnsi="宋体" w:eastAsia="宋体" w:cs="宋体"/>
          <w:kern w:val="0"/>
          <w:sz w:val="27"/>
          <w:szCs w:val="27"/>
          <w:shd w:val="clear" w:fill="FFFFFF"/>
        </w:rPr>
        <w:t>2021年度年末一般公共预算财政拨款结转和结余0.00万元，较上年决算数增加0.00万元，增长0%，主要原因是本单位收支平衡。</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4.</w:t>
      </w:r>
      <w:r>
        <w:rPr>
          <w:rStyle w:val="5"/>
          <w:rFonts w:hint="eastAsia" w:ascii="宋体" w:hAnsi="宋体" w:eastAsia="宋体" w:cs="宋体"/>
          <w:b/>
          <w:bCs/>
          <w:sz w:val="27"/>
          <w:szCs w:val="27"/>
          <w:shd w:val="clear" w:fill="FFFFFF"/>
        </w:rPr>
        <w:t>比较情况。</w:t>
      </w:r>
      <w:r>
        <w:rPr>
          <w:rFonts w:hint="eastAsia" w:ascii="宋体" w:hAnsi="宋体" w:eastAsia="宋体" w:cs="宋体"/>
          <w:kern w:val="0"/>
          <w:sz w:val="27"/>
          <w:szCs w:val="27"/>
          <w:shd w:val="clear" w:fill="FFFFFF"/>
        </w:rPr>
        <w:t>本部门2021年度一般公共预算财政拨款支出主要用于以下几个方面：</w:t>
      </w:r>
    </w:p>
    <w:p>
      <w:pPr>
        <w:pStyle w:val="4"/>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 xml:space="preserve">  （1）一般公共服务支出564.69万元，占23.6%，较年初预算数增加73.09万元，增长14.9%，主要原因是人员工资调整及各类缴费基数增加。</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27"/>
          <w:szCs w:val="27"/>
          <w:shd w:val="clear" w:fill="FFFFFF"/>
        </w:rPr>
        <w:t xml:space="preserve">  （2）教育支出2.39万元，占0.1%，较年初预算数减少0.14万元，下降5.5%。</w:t>
      </w:r>
    </w:p>
    <w:p>
      <w:pPr>
        <w:pStyle w:val="4"/>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 xml:space="preserve">  （3）文化旅游体育与传媒支出47.96万元，占2%，较年初预算数增加2.83万元，增长6.3%，主要原因是免费开放经费不纳入年初预算，追加使用。</w:t>
      </w:r>
    </w:p>
    <w:p>
      <w:pPr>
        <w:pStyle w:val="4"/>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 xml:space="preserve">  （4）社会保障与就业支出655.85万元，占27.5%，较年初预算数增加32.47万元，增长5.2%，主要原因是人员工资调整及各类缴费基数增加。</w:t>
      </w:r>
    </w:p>
    <w:p>
      <w:pPr>
        <w:pStyle w:val="4"/>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 xml:space="preserve">  （5）卫生健康支出38.37万元，占1.6%，较年初预算数增加8.93万元，增长30.3%，主要原因是医疗保险等缴费基数增加。</w:t>
      </w:r>
    </w:p>
    <w:p>
      <w:pPr>
        <w:pStyle w:val="4"/>
        <w:keepNext w:val="0"/>
        <w:keepLines w:val="0"/>
        <w:widowControl/>
        <w:suppressLineNumbers w:val="0"/>
        <w:spacing w:before="0" w:beforeAutospacing="0"/>
        <w:ind w:left="0"/>
        <w:jc w:val="left"/>
        <w:rPr>
          <w:rFonts w:hint="eastAsia" w:ascii="宋体" w:hAnsi="宋体" w:eastAsia="宋体" w:cs="宋体"/>
          <w:color w:val="FF0000"/>
          <w:kern w:val="0"/>
          <w:sz w:val="27"/>
          <w:szCs w:val="27"/>
          <w:shd w:val="clear" w:fill="FFFFFF"/>
        </w:rPr>
      </w:pPr>
      <w:r>
        <w:rPr>
          <w:rFonts w:hint="eastAsia" w:ascii="宋体" w:hAnsi="宋体" w:eastAsia="宋体" w:cs="宋体"/>
          <w:kern w:val="0"/>
          <w:sz w:val="27"/>
          <w:szCs w:val="27"/>
          <w:shd w:val="clear" w:fill="FFFFFF"/>
        </w:rPr>
        <w:t xml:space="preserve">  （6）城乡社区支出23.18万元，占1%，较年初预算数增加8.61万元，增长58.97%，主要原因是人员经费增加。</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27"/>
          <w:szCs w:val="27"/>
          <w:shd w:val="clear" w:fill="FFFFFF"/>
        </w:rPr>
        <w:t xml:space="preserve">  （7）农林水支出966.97万元，占40.5%，较年初预算数增加490.24万元，增长102.84%，主要原因是农林水项目资金增加。  </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27"/>
          <w:szCs w:val="27"/>
          <w:shd w:val="clear" w:fill="FFFFFF"/>
        </w:rPr>
        <w:t xml:space="preserve"> </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27"/>
          <w:szCs w:val="27"/>
          <w:shd w:val="clear" w:fill="FFFFFF"/>
        </w:rPr>
        <w:t xml:space="preserve">  （8）住房保障支出42.82万元，占1.8%，较年初预算数增加1.26万元，增长3%。</w:t>
      </w:r>
    </w:p>
    <w:p>
      <w:pPr>
        <w:pStyle w:val="4"/>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 xml:space="preserve">  （9）灾害防治及应急管理支出46.38万元，占1.9%，较年初预算数增加46.38万元，增长%，主要原因是</w:t>
      </w:r>
      <w:r>
        <w:rPr>
          <w:rFonts w:hint="eastAsia" w:cs="宋体"/>
          <w:kern w:val="0"/>
          <w:sz w:val="27"/>
          <w:szCs w:val="27"/>
          <w:shd w:val="clear" w:fill="FFFFFF"/>
          <w:lang w:eastAsia="zh-CN"/>
        </w:rPr>
        <w:t>新冠肺炎疫情</w:t>
      </w:r>
      <w:r>
        <w:rPr>
          <w:rFonts w:hint="eastAsia" w:ascii="宋体" w:hAnsi="宋体" w:eastAsia="宋体" w:cs="宋体"/>
          <w:kern w:val="0"/>
          <w:sz w:val="27"/>
          <w:szCs w:val="27"/>
          <w:shd w:val="clear" w:fill="FFFFFF"/>
        </w:rPr>
        <w:t>防疫支出。</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（四）一般公共预算财政拨款基本支出决算情况说明。</w:t>
      </w:r>
    </w:p>
    <w:p>
      <w:pPr>
        <w:pStyle w:val="4"/>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 xml:space="preserve">  2021年度一般公共财政拨款基本支出962.39万元。其中：人员经费791.70万元，较上年决算数减少47.15万元，下降5.6%，主要原因是人员经费减少。人员经费用途主要包括基本工资、津贴补贴、目标绩效、平时考核、奖金、住房公积金、社会保障缴费等。公用经费170.69万元，较上年决算数减少23.01万元，下降11.9%，主要原因是</w:t>
      </w:r>
      <w:r>
        <w:rPr>
          <w:rFonts w:hint="eastAsia" w:cs="宋体"/>
          <w:kern w:val="0"/>
          <w:sz w:val="27"/>
          <w:szCs w:val="27"/>
          <w:shd w:val="clear" w:fill="FFFFFF"/>
          <w:lang w:val="en-US" w:eastAsia="zh-CN"/>
        </w:rPr>
        <w:t>厉</w:t>
      </w:r>
      <w:bookmarkStart w:id="0" w:name="_GoBack"/>
      <w:bookmarkEnd w:id="0"/>
      <w:r>
        <w:rPr>
          <w:rFonts w:hint="eastAsia" w:ascii="宋体" w:hAnsi="宋体" w:eastAsia="宋体" w:cs="宋体"/>
          <w:kern w:val="0"/>
          <w:sz w:val="27"/>
          <w:szCs w:val="27"/>
          <w:shd w:val="clear" w:fill="FFFFFF"/>
        </w:rPr>
        <w:t>行节俭。公用经费用途主要包括办公费、邮电费、水电费、其他商品服务支出等。</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（五）政府性基金预算收支决算情况说明。</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27"/>
          <w:szCs w:val="27"/>
          <w:shd w:val="clear" w:fill="FFFFFF"/>
        </w:rPr>
        <w:t xml:space="preserve">  2021年度政府性基金预算财政拨款年初结转结余0.00万元，年末结转结余0.00万元。本年收入0.00万元，较上年决算数减少21.46万元，下降100%。本年支出0.00万元，较上年决算数减少21.46万元，下降100%。</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（六）国有资本经营预算财政拨款支出决算情况说明。</w:t>
      </w:r>
    </w:p>
    <w:p>
      <w:pPr>
        <w:pStyle w:val="4"/>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本单位2021年度无国有资本经营预算财政拨款支出。</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三、</w:t>
      </w:r>
      <w:r>
        <w:rPr>
          <w:rStyle w:val="5"/>
          <w:rFonts w:hint="default" w:ascii="Times New Roman" w:hAnsi="Times New Roman" w:cs="Times New Roman"/>
          <w:b/>
          <w:bCs/>
          <w:sz w:val="27"/>
          <w:szCs w:val="27"/>
          <w:shd w:val="clear" w:fill="FFFFFF"/>
        </w:rPr>
        <w:t>“</w:t>
      </w:r>
      <w:r>
        <w:rPr>
          <w:rStyle w:val="5"/>
          <w:rFonts w:hint="eastAsia" w:ascii="宋体" w:hAnsi="宋体" w:eastAsia="宋体" w:cs="宋体"/>
          <w:b/>
          <w:bCs/>
          <w:sz w:val="27"/>
          <w:szCs w:val="27"/>
          <w:shd w:val="clear" w:fill="FFFFFF"/>
        </w:rPr>
        <w:t>三公</w:t>
      </w:r>
      <w:r>
        <w:rPr>
          <w:rStyle w:val="5"/>
          <w:rFonts w:hint="default" w:ascii="Times New Roman" w:hAnsi="Times New Roman" w:cs="Times New Roman"/>
          <w:b/>
          <w:bCs/>
          <w:sz w:val="27"/>
          <w:szCs w:val="27"/>
          <w:shd w:val="clear" w:fill="FFFFFF"/>
        </w:rPr>
        <w:t>”</w:t>
      </w:r>
      <w:r>
        <w:rPr>
          <w:rStyle w:val="5"/>
          <w:rFonts w:hint="eastAsia" w:ascii="宋体" w:hAnsi="宋体" w:eastAsia="宋体" w:cs="宋体"/>
          <w:b/>
          <w:bCs/>
          <w:sz w:val="27"/>
          <w:szCs w:val="27"/>
          <w:shd w:val="clear" w:fill="FFFFFF"/>
        </w:rPr>
        <w:t>经费情况说明</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（一）</w:t>
      </w:r>
      <w:r>
        <w:rPr>
          <w:rStyle w:val="5"/>
          <w:rFonts w:hint="default" w:ascii="Times New Roman" w:hAnsi="Times New Roman" w:cs="Times New Roman"/>
          <w:b/>
          <w:bCs/>
          <w:sz w:val="27"/>
          <w:szCs w:val="27"/>
          <w:shd w:val="clear" w:fill="FFFFFF"/>
        </w:rPr>
        <w:t>“</w:t>
      </w:r>
      <w:r>
        <w:rPr>
          <w:rStyle w:val="5"/>
          <w:rFonts w:hint="eastAsia" w:ascii="宋体" w:hAnsi="宋体" w:eastAsia="宋体" w:cs="宋体"/>
          <w:b/>
          <w:bCs/>
          <w:sz w:val="27"/>
          <w:szCs w:val="27"/>
          <w:shd w:val="clear" w:fill="FFFFFF"/>
        </w:rPr>
        <w:t>三公</w:t>
      </w:r>
      <w:r>
        <w:rPr>
          <w:rStyle w:val="5"/>
          <w:rFonts w:hint="default" w:ascii="Times New Roman" w:hAnsi="Times New Roman" w:cs="Times New Roman"/>
          <w:b/>
          <w:bCs/>
          <w:sz w:val="27"/>
          <w:szCs w:val="27"/>
          <w:shd w:val="clear" w:fill="FFFFFF"/>
        </w:rPr>
        <w:t>”</w:t>
      </w:r>
      <w:r>
        <w:rPr>
          <w:rStyle w:val="5"/>
          <w:rFonts w:hint="eastAsia" w:ascii="宋体" w:hAnsi="宋体" w:eastAsia="宋体" w:cs="宋体"/>
          <w:b/>
          <w:bCs/>
          <w:sz w:val="27"/>
          <w:szCs w:val="27"/>
          <w:shd w:val="clear" w:fill="FFFFFF"/>
        </w:rPr>
        <w:t>经费支出总体情况说明。</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27"/>
          <w:szCs w:val="27"/>
          <w:shd w:val="clear" w:fill="FFFFFF"/>
        </w:rPr>
        <w:t xml:space="preserve">  2021年度“三公”经费支出共计34.57万元，较年初预算数减少2.36万元，下降6.4%，主要原因是厉行节俭，严格控制三公经费的支出。较上年支出数增加9.04万元，增长35.4%，主要原因是接受相关检查等增多，费用增加。</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（二）</w:t>
      </w:r>
      <w:r>
        <w:rPr>
          <w:rStyle w:val="5"/>
          <w:rFonts w:hint="default" w:ascii="Times New Roman" w:hAnsi="Times New Roman" w:cs="Times New Roman"/>
          <w:b/>
          <w:bCs/>
          <w:sz w:val="27"/>
          <w:szCs w:val="27"/>
          <w:shd w:val="clear" w:fill="FFFFFF"/>
        </w:rPr>
        <w:t>“</w:t>
      </w:r>
      <w:r>
        <w:rPr>
          <w:rStyle w:val="5"/>
          <w:rFonts w:hint="eastAsia" w:ascii="宋体" w:hAnsi="宋体" w:eastAsia="宋体" w:cs="宋体"/>
          <w:b/>
          <w:bCs/>
          <w:sz w:val="27"/>
          <w:szCs w:val="27"/>
          <w:shd w:val="clear" w:fill="FFFFFF"/>
        </w:rPr>
        <w:t>三公</w:t>
      </w:r>
      <w:r>
        <w:rPr>
          <w:rStyle w:val="5"/>
          <w:rFonts w:hint="default" w:ascii="Times New Roman" w:hAnsi="Times New Roman" w:cs="Times New Roman"/>
          <w:b/>
          <w:bCs/>
          <w:sz w:val="27"/>
          <w:szCs w:val="27"/>
          <w:shd w:val="clear" w:fill="FFFFFF"/>
        </w:rPr>
        <w:t>”</w:t>
      </w:r>
      <w:r>
        <w:rPr>
          <w:rStyle w:val="5"/>
          <w:rFonts w:hint="eastAsia" w:ascii="宋体" w:hAnsi="宋体" w:eastAsia="宋体" w:cs="宋体"/>
          <w:b/>
          <w:bCs/>
          <w:sz w:val="27"/>
          <w:szCs w:val="27"/>
          <w:shd w:val="clear" w:fill="FFFFFF"/>
        </w:rPr>
        <w:t>经费分项支出情况。</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27"/>
          <w:szCs w:val="27"/>
          <w:shd w:val="clear" w:fill="FFFFFF"/>
        </w:rPr>
        <w:t xml:space="preserve">  2021年度本部门因公出国（境）费用0.00万元，费用支出较年初预算数增加0.00万元，增长0%。较上年支出数增加0.00万元，增长0%。</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27"/>
          <w:szCs w:val="27"/>
          <w:shd w:val="clear" w:fill="FFFFFF"/>
        </w:rPr>
        <w:t xml:space="preserve">  公务车购置费0.00万元，费用支出较年初预算数增加0.00万元，增长0%。较上年支出数增加0.00万元，增长0%。</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27"/>
          <w:szCs w:val="27"/>
          <w:shd w:val="clear" w:fill="FFFFFF"/>
        </w:rPr>
        <w:t xml:space="preserve">  公务车运行维护费13.39万元，主要用于机要文件领取、市内县内因公出行、财政、农业业务下乡检查等工作所需车辆的燃料费、维修费、过桥过路费、保险费等。费用支出较年初预算数减少1.61万元，下降10.7%，主要原因是厉行节俭，严格控制三公经费支出。较上年支出数增加1.04万元，增长8.4%，主要原因是接受相关检查等增多，费用增加。</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27"/>
          <w:szCs w:val="27"/>
          <w:shd w:val="clear" w:fill="FFFFFF"/>
        </w:rPr>
        <w:t xml:space="preserve">  公务接待费21.18万元，主要用于接待相关部门检查指导工作发生的接待支出等。费用支出较年初预算数减少0.75万元，下降3.4%，主要原因是厉行节俭，严格控制三公经费支出。较上年支出数增加7.99万元，增长60.6%，主要原因是接受相关检查等增多，费用增加。</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（三）</w:t>
      </w:r>
      <w:r>
        <w:rPr>
          <w:rStyle w:val="5"/>
          <w:rFonts w:hint="default" w:ascii="Times New Roman" w:hAnsi="Times New Roman" w:cs="Times New Roman"/>
          <w:b/>
          <w:bCs/>
          <w:sz w:val="27"/>
          <w:szCs w:val="27"/>
          <w:shd w:val="clear" w:fill="FFFFFF"/>
        </w:rPr>
        <w:t>“</w:t>
      </w:r>
      <w:r>
        <w:rPr>
          <w:rStyle w:val="5"/>
          <w:rFonts w:hint="eastAsia" w:ascii="宋体" w:hAnsi="宋体" w:eastAsia="宋体" w:cs="宋体"/>
          <w:b/>
          <w:bCs/>
          <w:sz w:val="27"/>
          <w:szCs w:val="27"/>
          <w:shd w:val="clear" w:fill="FFFFFF"/>
        </w:rPr>
        <w:t>三公</w:t>
      </w:r>
      <w:r>
        <w:rPr>
          <w:rStyle w:val="5"/>
          <w:rFonts w:hint="default" w:ascii="Times New Roman" w:hAnsi="Times New Roman" w:cs="Times New Roman"/>
          <w:b/>
          <w:bCs/>
          <w:sz w:val="27"/>
          <w:szCs w:val="27"/>
          <w:shd w:val="clear" w:fill="FFFFFF"/>
        </w:rPr>
        <w:t>”</w:t>
      </w:r>
      <w:r>
        <w:rPr>
          <w:rStyle w:val="5"/>
          <w:rFonts w:hint="eastAsia" w:ascii="宋体" w:hAnsi="宋体" w:eastAsia="宋体" w:cs="宋体"/>
          <w:b/>
          <w:bCs/>
          <w:sz w:val="27"/>
          <w:szCs w:val="27"/>
          <w:shd w:val="clear" w:fill="FFFFFF"/>
        </w:rPr>
        <w:t>经费实物量情况。</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27"/>
          <w:szCs w:val="27"/>
          <w:shd w:val="clear" w:fill="FFFFFF"/>
        </w:rPr>
        <w:t xml:space="preserve">  2021年度本部门因公出国（境）共计0个团组，0人；公务用车购置0辆，公务车保有量为4辆；国内公务接待290批次2,177人，其中：国内外事接待0批次，0人；国（境）外公务接待0批次，0人。2021年本部门人均接待费97.28元，车均购置费0.00万元，车均维护费3.35万元。</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四、其他需要说明的事项</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（一）一般公共预算财政拨款会议费和培训费情况说明。</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27"/>
          <w:szCs w:val="27"/>
          <w:shd w:val="clear" w:fill="FFFFFF"/>
        </w:rPr>
        <w:t xml:space="preserve">  本年度会议费支出0.00万元，较上年决算数减少3.47万元，下降100%。本年度培训费支出2.39万元，较上年决算数增加0.30万元，增长14.4%，主要原因是培训次数增多。</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（二）机关运行经费情况说明。</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27"/>
          <w:szCs w:val="27"/>
          <w:shd w:val="clear" w:fill="FFFFFF"/>
        </w:rPr>
        <w:t xml:space="preserve">  2021年度本部门机关运行经费支出135.53万元，机关运行经费主要用于开支办公费、公务车运行维护费、公务接待费、劳务费、水电费等。机关运行经费较上年决算数减少19.75万元，下降12.7%，主要原因是厉行节俭，严格控制经费支出。</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（三）国有资产占用情况说明。</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27"/>
          <w:szCs w:val="27"/>
          <w:shd w:val="clear" w:fill="FFFFFF"/>
        </w:rPr>
        <w:t xml:space="preserve">  截至2021年12月31日，本部门共有车辆4辆，其中，副部（省）级及以上领导用车0辆、主要领导干部用车0辆、机要通信用车0辆、应急保障用车4辆、执法执勤用车0辆，特种专业技术用车0辆，离退休干部用车0辆，其他用车0辆，单价50万元（含）以上通用设备0台（套），单价100万元（含）以上专用设备0台（套）。</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（四）政府采购支出情况说明。</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五、预算绩效管理情况说明</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（一）预算绩效管理工作开展情况。</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（二）绩效自评结果。</w:t>
      </w:r>
    </w:p>
    <w:p>
      <w:pPr>
        <w:pStyle w:val="4"/>
        <w:keepNext w:val="0"/>
        <w:keepLines w:val="0"/>
        <w:widowControl/>
        <w:suppressLineNumbers w:val="0"/>
        <w:spacing w:before="0" w:beforeAutospacing="0"/>
        <w:ind w:left="0"/>
        <w:jc w:val="left"/>
        <w:rPr>
          <w:rFonts w:hint="eastAsia" w:ascii="宋体" w:hAnsi="宋体" w:eastAsia="宋体" w:cs="宋体"/>
          <w:b/>
          <w:bCs/>
          <w:kern w:val="0"/>
          <w:sz w:val="27"/>
          <w:szCs w:val="27"/>
          <w:shd w:val="clear" w:fill="FFFFFF"/>
        </w:rPr>
      </w:pPr>
      <w:r>
        <w:rPr>
          <w:rStyle w:val="5"/>
          <w:rFonts w:hint="default" w:ascii="Times New Roman" w:hAnsi="Times New Roman" w:cs="Times New Roman"/>
          <w:b/>
          <w:bCs/>
          <w:sz w:val="27"/>
          <w:szCs w:val="27"/>
          <w:shd w:val="clear" w:fill="FFFFFF"/>
        </w:rPr>
        <w:t xml:space="preserve">  1.</w:t>
      </w:r>
      <w:r>
        <w:rPr>
          <w:rStyle w:val="5"/>
          <w:rFonts w:hint="eastAsia" w:ascii="宋体" w:hAnsi="宋体" w:eastAsia="宋体" w:cs="宋体"/>
          <w:b/>
          <w:bCs/>
          <w:sz w:val="27"/>
          <w:szCs w:val="27"/>
          <w:shd w:val="clear" w:fill="FFFFFF"/>
        </w:rPr>
        <w:t>绩效目标自评表。</w:t>
      </w:r>
    </w:p>
    <w:tbl>
      <w:tblPr>
        <w:tblStyle w:val="2"/>
        <w:tblW w:w="11025" w:type="dxa"/>
        <w:tblInd w:w="-9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15"/>
        <w:gridCol w:w="3465"/>
        <w:gridCol w:w="660"/>
        <w:gridCol w:w="660"/>
        <w:gridCol w:w="660"/>
        <w:gridCol w:w="660"/>
        <w:gridCol w:w="1770"/>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5" w:hRule="atLeast"/>
        </w:trPr>
        <w:tc>
          <w:tcPr>
            <w:tcW w:w="11025"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36"/>
                <w:szCs w:val="36"/>
              </w:rPr>
            </w:pPr>
            <w:r>
              <w:rPr>
                <w:rFonts w:hint="eastAsia" w:ascii="微软雅黑" w:hAnsi="微软雅黑" w:eastAsia="微软雅黑" w:cs="微软雅黑"/>
                <w:i w:val="0"/>
                <w:iCs w:val="0"/>
                <w:color w:val="000000"/>
                <w:kern w:val="0"/>
                <w:sz w:val="36"/>
                <w:szCs w:val="36"/>
              </w:rPr>
              <w:t>2021年部门（单位）整体绩效目标自评表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部门（单位）名称</w:t>
            </w:r>
          </w:p>
        </w:tc>
        <w:tc>
          <w:tcPr>
            <w:tcW w:w="34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忠县野鹤镇人民政府</w:t>
            </w:r>
          </w:p>
        </w:tc>
        <w:tc>
          <w:tcPr>
            <w:tcW w:w="132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预算支出总量（万元）</w:t>
            </w:r>
          </w:p>
        </w:tc>
        <w:tc>
          <w:tcPr>
            <w:tcW w:w="132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1399</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实际支出总量（万元）</w:t>
            </w:r>
          </w:p>
        </w:tc>
        <w:tc>
          <w:tcPr>
            <w:tcW w:w="19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宋体" w:hAnsi="宋体" w:eastAsia="宋体" w:cs="宋体"/>
                <w:kern w:val="0"/>
                <w:sz w:val="27"/>
                <w:szCs w:val="27"/>
                <w:shd w:val="clear" w:fill="FFFFFF"/>
              </w:rPr>
              <w:t>2,388.62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trPr>
        <w:tc>
          <w:tcPr>
            <w:tcW w:w="1215"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iCs w:val="0"/>
                <w:color w:val="000000"/>
                <w:kern w:val="0"/>
                <w:sz w:val="22"/>
                <w:szCs w:val="22"/>
              </w:rPr>
            </w:pPr>
          </w:p>
        </w:tc>
        <w:tc>
          <w:tcPr>
            <w:tcW w:w="610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 xml:space="preserve">年初设定目标 </w:t>
            </w:r>
          </w:p>
        </w:tc>
        <w:tc>
          <w:tcPr>
            <w:tcW w:w="370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 xml:space="preserve">全年实际完成情况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当年整体绩效目标</w:t>
            </w:r>
          </w:p>
        </w:tc>
        <w:tc>
          <w:tcPr>
            <w:tcW w:w="6105" w:type="dxa"/>
            <w:gridSpan w:val="5"/>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rPr>
            </w:pPr>
            <w:r>
              <w:rPr>
                <w:rFonts w:hint="eastAsia" w:ascii="仿宋" w:hAnsi="仿宋" w:eastAsia="仿宋" w:cs="仿宋"/>
                <w:i w:val="0"/>
                <w:iCs w:val="0"/>
                <w:color w:val="000000"/>
                <w:kern w:val="0"/>
                <w:sz w:val="20"/>
                <w:szCs w:val="20"/>
              </w:rPr>
              <w:t xml:space="preserve">    在县委、县政府和镇党委的坚强领导下，紧紧围绕“一兴四美.闲云野鹤”发展目标和“六大工作重点”（即基层党建、脱贫攻坚、基础设施建设、产业发展、场镇建设、人居环境整治），不忘初心、砥砺前行。我镇经济社会发展的主要预期目标是：地区生产总值增长10.3%以上，固定资产投资增长7.7%以上，社会消费品零售总额增长12.3%以上，农村居民人均可支配收入增长9.2%以上，工业增加值增长率12%以上，农业增加值增长率5.4%以上。优化发展特色效益农业，大力发展蜂蜜、食用菌等优势产业。</w:t>
            </w:r>
          </w:p>
        </w:tc>
        <w:tc>
          <w:tcPr>
            <w:tcW w:w="370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rPr>
            </w:pPr>
            <w:r>
              <w:rPr>
                <w:rFonts w:hint="eastAsia" w:ascii="仿宋" w:hAnsi="仿宋" w:eastAsia="仿宋" w:cs="仿宋"/>
                <w:i w:val="0"/>
                <w:iCs w:val="0"/>
                <w:color w:val="000000"/>
                <w:kern w:val="0"/>
                <w:sz w:val="20"/>
                <w:szCs w:val="20"/>
              </w:rPr>
              <w:t>在县委、县政府和镇党委的坚强领导下，紧紧围绕“一兴四美.闲云野鹤”发展目标和“六大工作重点”（即基层党建、脱贫攻坚、基础设施建设、产业发展、场镇建设、人居环境整治），不忘初心、砥砺前行。我镇经济社会发展是：地区生产总值增长9.8%，固定资产投资增长32.8%，社会消费品零售总额增长30.5%，农村居民人均可支配收入增长11.2%，工业增加值增长率11.7%，农业增加值增长率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6105" w:type="dxa"/>
            <w:gridSpan w:val="5"/>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70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6105" w:type="dxa"/>
            <w:gridSpan w:val="5"/>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70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6105" w:type="dxa"/>
            <w:gridSpan w:val="5"/>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70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6105" w:type="dxa"/>
            <w:gridSpan w:val="5"/>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70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6105" w:type="dxa"/>
            <w:gridSpan w:val="5"/>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70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6105" w:type="dxa"/>
            <w:gridSpan w:val="5"/>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70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6105" w:type="dxa"/>
            <w:gridSpan w:val="5"/>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70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6105" w:type="dxa"/>
            <w:gridSpan w:val="5"/>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70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6105" w:type="dxa"/>
            <w:gridSpan w:val="5"/>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70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6105" w:type="dxa"/>
            <w:gridSpan w:val="5"/>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70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21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绩效指标</w:t>
            </w:r>
          </w:p>
        </w:tc>
        <w:tc>
          <w:tcPr>
            <w:tcW w:w="34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指标</w:t>
            </w:r>
          </w:p>
        </w:tc>
        <w:tc>
          <w:tcPr>
            <w:tcW w:w="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指标权重</w:t>
            </w:r>
          </w:p>
        </w:tc>
        <w:tc>
          <w:tcPr>
            <w:tcW w:w="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计量单位</w:t>
            </w:r>
          </w:p>
        </w:tc>
        <w:tc>
          <w:tcPr>
            <w:tcW w:w="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指标性质</w:t>
            </w:r>
          </w:p>
        </w:tc>
        <w:tc>
          <w:tcPr>
            <w:tcW w:w="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指标值</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实际完成指标值</w:t>
            </w:r>
          </w:p>
        </w:tc>
        <w:tc>
          <w:tcPr>
            <w:tcW w:w="19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 xml:space="preserve">未完成原因和改进措施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8" w:hRule="atLeast"/>
        </w:trPr>
        <w:tc>
          <w:tcPr>
            <w:tcW w:w="12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46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地区生产总值增长率</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20</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10.3</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9.8</w:t>
            </w:r>
          </w:p>
        </w:tc>
        <w:tc>
          <w:tcPr>
            <w:tcW w:w="19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12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46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固定资产投资增长率</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20</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7.7</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32.8</w:t>
            </w:r>
          </w:p>
        </w:tc>
        <w:tc>
          <w:tcPr>
            <w:tcW w:w="19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rPr>
                <w:rFonts w:hint="eastAsia" w:ascii="仿宋" w:hAnsi="仿宋" w:eastAsia="仿宋" w:cs="仿宋"/>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12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46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社会消费品零售总额增长率</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10</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12.3</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30.5</w:t>
            </w:r>
          </w:p>
        </w:tc>
        <w:tc>
          <w:tcPr>
            <w:tcW w:w="19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rPr>
                <w:rFonts w:hint="eastAsia" w:ascii="仿宋" w:hAnsi="仿宋" w:eastAsia="仿宋" w:cs="仿宋"/>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2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46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农村居民人均可支配收入增长率</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30</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9.2</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11.2</w:t>
            </w:r>
          </w:p>
        </w:tc>
        <w:tc>
          <w:tcPr>
            <w:tcW w:w="19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rPr>
                <w:rFonts w:hint="eastAsia" w:ascii="仿宋" w:hAnsi="仿宋" w:eastAsia="仿宋" w:cs="仿宋"/>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12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46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工业增加值增长率</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10</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12</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11.7</w:t>
            </w:r>
          </w:p>
        </w:tc>
        <w:tc>
          <w:tcPr>
            <w:tcW w:w="19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12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46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农业增加值增长率</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10</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5.4</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12.3</w:t>
            </w:r>
          </w:p>
        </w:tc>
        <w:tc>
          <w:tcPr>
            <w:tcW w:w="19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rPr>
                <w:rFonts w:hint="eastAsia" w:ascii="仿宋" w:hAnsi="仿宋" w:eastAsia="仿宋" w:cs="仿宋"/>
                <w:i w:val="0"/>
                <w:iCs w:val="0"/>
                <w:color w:val="000000"/>
                <w:kern w:val="0"/>
                <w:sz w:val="22"/>
                <w:szCs w:val="22"/>
              </w:rPr>
            </w:pPr>
          </w:p>
        </w:tc>
      </w:tr>
    </w:tbl>
    <w:p>
      <w:pPr>
        <w:pStyle w:val="4"/>
        <w:keepNext w:val="0"/>
        <w:keepLines w:val="0"/>
        <w:widowControl/>
        <w:suppressLineNumbers w:val="0"/>
        <w:spacing w:before="0" w:beforeAutospacing="0"/>
        <w:ind w:left="0"/>
        <w:jc w:val="left"/>
        <w:rPr>
          <w:rFonts w:hint="eastAsia" w:ascii="宋体" w:hAnsi="宋体" w:eastAsia="宋体" w:cs="宋体"/>
          <w:b/>
          <w:bCs/>
          <w:kern w:val="0"/>
          <w:sz w:val="27"/>
          <w:szCs w:val="27"/>
          <w:shd w:val="clear" w:fill="FFFFFF"/>
        </w:rPr>
      </w:pPr>
      <w:r>
        <w:rPr>
          <w:rStyle w:val="5"/>
          <w:rFonts w:hint="eastAsia" w:ascii="宋体" w:hAnsi="宋体" w:eastAsia="宋体" w:cs="宋体"/>
          <w:b/>
          <w:bCs/>
          <w:sz w:val="27"/>
          <w:szCs w:val="27"/>
          <w:shd w:val="clear" w:fill="FFFFFF"/>
        </w:rPr>
        <w:t xml:space="preserve"> </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（三）重点绩效评价结果。</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六、专业名词解释</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27"/>
          <w:szCs w:val="27"/>
          <w:shd w:val="clear" w:fill="FFFFFF"/>
        </w:rPr>
        <w:t xml:space="preserve">  以下为常见专业名词解释目录，仅供参考，部门应根据实际情况进行解释和</w:t>
      </w:r>
      <w:r>
        <w:rPr>
          <w:rStyle w:val="5"/>
          <w:rFonts w:hint="eastAsia" w:ascii="宋体" w:hAnsi="宋体" w:eastAsia="宋体" w:cs="宋体"/>
          <w:b/>
          <w:bCs/>
          <w:sz w:val="27"/>
          <w:szCs w:val="27"/>
          <w:shd w:val="clear" w:fill="FFFFFF"/>
        </w:rPr>
        <w:t>增减</w:t>
      </w:r>
      <w:r>
        <w:rPr>
          <w:rFonts w:hint="eastAsia" w:ascii="宋体" w:hAnsi="宋体" w:eastAsia="宋体" w:cs="宋体"/>
          <w:kern w:val="0"/>
          <w:sz w:val="27"/>
          <w:szCs w:val="27"/>
          <w:shd w:val="clear" w:fill="FFFFFF"/>
        </w:rPr>
        <w:t>。比如可将类级功能科目和经济科目细化解释到项级。若有删减注意调整段落序号。</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（一）财政拨款收入</w:t>
      </w:r>
      <w:r>
        <w:rPr>
          <w:rFonts w:hint="eastAsia" w:ascii="宋体" w:hAnsi="宋体" w:eastAsia="宋体" w:cs="宋体"/>
          <w:kern w:val="0"/>
          <w:sz w:val="27"/>
          <w:szCs w:val="27"/>
          <w:shd w:val="clear" w:fill="FFFFFF"/>
        </w:rPr>
        <w:t>：指本年度从本级财政部门取得的财政拨款，包括一般公共预算财政拨款和政府性基金预算财政拨款。</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（二）事业收入</w:t>
      </w:r>
      <w:r>
        <w:rPr>
          <w:rFonts w:hint="eastAsia" w:ascii="宋体" w:hAnsi="宋体" w:eastAsia="宋体" w:cs="宋体"/>
          <w:kern w:val="0"/>
          <w:sz w:val="27"/>
          <w:szCs w:val="27"/>
          <w:shd w:val="clear" w:fill="FFFFFF"/>
        </w:rPr>
        <w:t>：指事业单位开展专业业务活动及其辅助活动取得的现金流入；事业单位收到的财政专户实际核拨的教育收费等资金在此反映。</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（三）经营收入</w:t>
      </w:r>
      <w:r>
        <w:rPr>
          <w:rFonts w:hint="eastAsia" w:ascii="宋体" w:hAnsi="宋体" w:eastAsia="宋体" w:cs="宋体"/>
          <w:kern w:val="0"/>
          <w:sz w:val="27"/>
          <w:szCs w:val="27"/>
          <w:shd w:val="clear" w:fill="FFFFFF"/>
        </w:rPr>
        <w:t>：指事业单位在专业业务活动及其辅助活动之外开展非独立核算经营活动取得的现金流入。</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（四）其他收入</w:t>
      </w:r>
      <w:r>
        <w:rPr>
          <w:rFonts w:hint="eastAsia" w:ascii="宋体" w:hAnsi="宋体" w:eastAsia="宋体" w:cs="宋体"/>
          <w:kern w:val="0"/>
          <w:sz w:val="27"/>
          <w:szCs w:val="27"/>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（五）使用非财政拨款结余</w:t>
      </w:r>
      <w:r>
        <w:rPr>
          <w:rFonts w:hint="eastAsia" w:ascii="宋体" w:hAnsi="宋体" w:eastAsia="宋体" w:cs="宋体"/>
          <w:kern w:val="0"/>
          <w:sz w:val="27"/>
          <w:szCs w:val="27"/>
          <w:shd w:val="clear" w:fill="FFFFFF"/>
        </w:rPr>
        <w:t>：指单位在当年的“财政拨款收入”、“事业收入”、“经营收入”、“其他收入”等不足以安排当年支出的情况下，使用以前年度积累的非财政拨款结余弥补本年度收支缺口的资金。</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（六）年初结转和结余</w:t>
      </w:r>
      <w:r>
        <w:rPr>
          <w:rFonts w:hint="eastAsia" w:ascii="宋体" w:hAnsi="宋体" w:eastAsia="宋体" w:cs="宋体"/>
          <w:kern w:val="0"/>
          <w:sz w:val="27"/>
          <w:szCs w:val="27"/>
          <w:shd w:val="clear" w:fill="FFFFFF"/>
        </w:rPr>
        <w:t>：指单位上年结转本年使用的基本支出结转、项目支出结转和结余、经营结余。</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（七）结余分配</w:t>
      </w:r>
      <w:r>
        <w:rPr>
          <w:rFonts w:hint="eastAsia" w:ascii="宋体" w:hAnsi="宋体" w:eastAsia="宋体" w:cs="宋体"/>
          <w:kern w:val="0"/>
          <w:sz w:val="27"/>
          <w:szCs w:val="27"/>
          <w:shd w:val="clear" w:fill="FFFFFF"/>
        </w:rPr>
        <w:t>：指单位按照国家有关规定，缴纳所得税、提取专用基金、转入非财政拨款结余等当年结余的分配情况。</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（八）年末结转和结余</w:t>
      </w:r>
      <w:r>
        <w:rPr>
          <w:rFonts w:hint="eastAsia" w:ascii="宋体" w:hAnsi="宋体" w:eastAsia="宋体" w:cs="宋体"/>
          <w:kern w:val="0"/>
          <w:sz w:val="27"/>
          <w:szCs w:val="27"/>
          <w:shd w:val="clear" w:fill="FFFFFF"/>
        </w:rPr>
        <w:t>：指单位结转下年的基本支出结转、项目支出结转和结余、经营结余。</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（九）基本支出</w:t>
      </w:r>
      <w:r>
        <w:rPr>
          <w:rFonts w:hint="eastAsia" w:ascii="宋体" w:hAnsi="宋体" w:eastAsia="宋体" w:cs="宋体"/>
          <w:kern w:val="0"/>
          <w:sz w:val="27"/>
          <w:szCs w:val="27"/>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（十）项目支出</w:t>
      </w:r>
      <w:r>
        <w:rPr>
          <w:rFonts w:hint="eastAsia" w:ascii="宋体" w:hAnsi="宋体" w:eastAsia="宋体" w:cs="宋体"/>
          <w:kern w:val="0"/>
          <w:sz w:val="27"/>
          <w:szCs w:val="27"/>
          <w:shd w:val="clear" w:fill="FFFFFF"/>
        </w:rPr>
        <w:t>：指在基本支出之外为完成特定行政任务和事业发展目标所发生的支出。</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（十一）经营支出</w:t>
      </w:r>
      <w:r>
        <w:rPr>
          <w:rFonts w:hint="eastAsia" w:ascii="宋体" w:hAnsi="宋体" w:eastAsia="宋体" w:cs="宋体"/>
          <w:kern w:val="0"/>
          <w:sz w:val="27"/>
          <w:szCs w:val="27"/>
          <w:shd w:val="clear" w:fill="FFFFFF"/>
        </w:rPr>
        <w:t>：指事业单位在专业业务活动及其辅助活动之外开展非独立核算经营活动发生的支出。</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（十二）</w:t>
      </w:r>
      <w:r>
        <w:rPr>
          <w:rStyle w:val="5"/>
          <w:rFonts w:hint="default" w:ascii="Times New Roman" w:hAnsi="Times New Roman" w:cs="Times New Roman"/>
          <w:b/>
          <w:bCs/>
          <w:sz w:val="27"/>
          <w:szCs w:val="27"/>
          <w:shd w:val="clear" w:fill="FFFFFF"/>
        </w:rPr>
        <w:t>“</w:t>
      </w:r>
      <w:r>
        <w:rPr>
          <w:rStyle w:val="5"/>
          <w:rFonts w:hint="eastAsia" w:ascii="宋体" w:hAnsi="宋体" w:eastAsia="宋体" w:cs="宋体"/>
          <w:b/>
          <w:bCs/>
          <w:sz w:val="27"/>
          <w:szCs w:val="27"/>
          <w:shd w:val="clear" w:fill="FFFFFF"/>
        </w:rPr>
        <w:t>三公</w:t>
      </w:r>
      <w:r>
        <w:rPr>
          <w:rStyle w:val="5"/>
          <w:rFonts w:hint="default" w:ascii="Times New Roman" w:hAnsi="Times New Roman" w:cs="Times New Roman"/>
          <w:b/>
          <w:bCs/>
          <w:sz w:val="27"/>
          <w:szCs w:val="27"/>
          <w:shd w:val="clear" w:fill="FFFFFF"/>
        </w:rPr>
        <w:t>”</w:t>
      </w:r>
      <w:r>
        <w:rPr>
          <w:rStyle w:val="5"/>
          <w:rFonts w:hint="eastAsia" w:ascii="宋体" w:hAnsi="宋体" w:eastAsia="宋体" w:cs="宋体"/>
          <w:b/>
          <w:bCs/>
          <w:sz w:val="27"/>
          <w:szCs w:val="27"/>
          <w:shd w:val="clear" w:fill="FFFFFF"/>
        </w:rPr>
        <w:t>经费</w:t>
      </w:r>
      <w:r>
        <w:rPr>
          <w:rFonts w:hint="eastAsia" w:ascii="宋体" w:hAnsi="宋体" w:eastAsia="宋体" w:cs="宋体"/>
          <w:kern w:val="0"/>
          <w:sz w:val="27"/>
          <w:szCs w:val="27"/>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（十三）机关运行经费</w:t>
      </w:r>
      <w:r>
        <w:rPr>
          <w:rFonts w:hint="eastAsia" w:ascii="宋体" w:hAnsi="宋体" w:eastAsia="宋体" w:cs="宋体"/>
          <w:kern w:val="0"/>
          <w:sz w:val="27"/>
          <w:szCs w:val="27"/>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（十四）工资福利支出（支出经济分类科目类级）</w:t>
      </w:r>
      <w:r>
        <w:rPr>
          <w:rFonts w:hint="eastAsia" w:ascii="宋体" w:hAnsi="宋体" w:eastAsia="宋体" w:cs="宋体"/>
          <w:kern w:val="0"/>
          <w:sz w:val="27"/>
          <w:szCs w:val="27"/>
          <w:shd w:val="clear" w:fill="FFFFFF"/>
        </w:rPr>
        <w:t>：反映单位开支的在职职工和编制外长期聘用人员的各类劳动报酬，以及为上述人员缴纳的各项社会保险费等。</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（十五）商品和服务支出（支出经济分类科目类级）</w:t>
      </w:r>
      <w:r>
        <w:rPr>
          <w:rFonts w:hint="eastAsia" w:ascii="宋体" w:hAnsi="宋体" w:eastAsia="宋体" w:cs="宋体"/>
          <w:kern w:val="0"/>
          <w:sz w:val="27"/>
          <w:szCs w:val="27"/>
          <w:shd w:val="clear" w:fill="FFFFFF"/>
        </w:rPr>
        <w:t>：反映单位购买商品和服务的支出（不包括用于购置固定资产的支出、战略性和应急储备支出）。</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（十六）对个人和家庭的补助（支出经济分类科目类级）</w:t>
      </w:r>
      <w:r>
        <w:rPr>
          <w:rFonts w:hint="eastAsia" w:ascii="宋体" w:hAnsi="宋体" w:eastAsia="宋体" w:cs="宋体"/>
          <w:kern w:val="0"/>
          <w:sz w:val="27"/>
          <w:szCs w:val="27"/>
          <w:shd w:val="clear" w:fill="FFFFFF"/>
        </w:rPr>
        <w:t>：反映用于对个人和家庭的补助支出。</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（十七）其他资本性支出（支出经济分类科目类级）</w:t>
      </w:r>
      <w:r>
        <w:rPr>
          <w:rFonts w:hint="eastAsia" w:ascii="宋体" w:hAnsi="宋体" w:eastAsia="宋体" w:cs="宋体"/>
          <w:kern w:val="0"/>
          <w:sz w:val="27"/>
          <w:szCs w:val="27"/>
          <w:shd w:val="clear" w:fill="FFFFFF"/>
        </w:rPr>
        <w:t>：反映非各级发展与改革部门集中安排的用于购置固定资产、战略性和应急性储备、土地和无形资产，以及构建基础设施、大型修缮和财政支持企业更新改造所发生的支出。</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七、决算公开联系方式及信息反馈渠道</w:t>
      </w:r>
    </w:p>
    <w:p>
      <w:pPr>
        <w:pStyle w:val="4"/>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 xml:space="preserve">  本单位决算公开信息反馈和联系方式：023-54727026</w:t>
      </w:r>
    </w:p>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A2YTkyYWM2MGMyMDQ2ZTJjMjEyNWI1MjdmZGQifQ=="/>
  </w:docVars>
  <w:rsids>
    <w:rsidRoot w:val="44152080"/>
    <w:rsid w:val="30C45E54"/>
    <w:rsid w:val="31403E93"/>
    <w:rsid w:val="44152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5">
    <w:name w:val="15"/>
    <w:basedOn w:val="3"/>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5488</Words>
  <Characters>6145</Characters>
  <Lines>0</Lines>
  <Paragraphs>0</Paragraphs>
  <TotalTime>0</TotalTime>
  <ScaleCrop>false</ScaleCrop>
  <LinksUpToDate>false</LinksUpToDate>
  <CharactersWithSpaces>6310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2022-09-27T06:40:00Z</dcterms:created>
  <dc:creator>祸害遗千年</dc:creator>
  <cp:lastModifiedBy>YHZF</cp:lastModifiedBy>
  <dcterms:modified xsi:type="dcterms:W3CDTF">2025-04-16T12:19:47Z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DCD86EE0FF3449C095877C0989AF1518</vt:lpwstr>
  </property>
</Properties>
</file>