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BA" w:rsidRDefault="00A4653C">
      <w:pPr>
        <w:pStyle w:val="a6"/>
        <w:spacing w:before="0" w:beforeAutospacing="0" w:after="0" w:afterAutospacing="0" w:line="594" w:lineRule="atLeast"/>
        <w:jc w:val="center"/>
        <w:rPr>
          <w:rFonts w:ascii="Times New Roman" w:eastAsia="方正小标宋_GBK" w:hAnsi="Times New Roman" w:hint="default"/>
          <w:sz w:val="36"/>
          <w:szCs w:val="36"/>
          <w:shd w:val="clear" w:color="auto" w:fill="FFFFFF"/>
        </w:rPr>
      </w:pPr>
      <w:r>
        <w:rPr>
          <w:rFonts w:ascii="Times New Roman" w:eastAsia="方正小标宋_GBK" w:hAnsi="Times New Roman" w:hint="default"/>
          <w:sz w:val="36"/>
          <w:szCs w:val="36"/>
        </w:rPr>
        <w:t>重庆市忠县残疾人服务中心</w:t>
      </w:r>
      <w:r>
        <w:rPr>
          <w:rFonts w:ascii="Times New Roman" w:eastAsia="方正小标宋_GBK" w:hAnsi="Times New Roman" w:hint="default"/>
          <w:sz w:val="36"/>
          <w:szCs w:val="36"/>
          <w:shd w:val="clear" w:color="auto" w:fill="FFFFFF"/>
        </w:rPr>
        <w:t>2023</w:t>
      </w:r>
      <w:r>
        <w:rPr>
          <w:rFonts w:ascii="Times New Roman" w:eastAsia="方正小标宋_GBK" w:hAnsi="Times New Roman" w:hint="default"/>
          <w:sz w:val="36"/>
          <w:szCs w:val="36"/>
          <w:shd w:val="clear" w:color="auto" w:fill="FFFFFF"/>
        </w:rPr>
        <w:t>年度决算公开说明</w:t>
      </w:r>
    </w:p>
    <w:p w:rsidR="00E30BBA" w:rsidRDefault="00A4653C">
      <w:pPr>
        <w:pStyle w:val="a6"/>
        <w:shd w:val="clear" w:color="auto" w:fill="FFFFFF"/>
        <w:spacing w:beforeAutospacing="0" w:after="0" w:afterAutospacing="0" w:line="594" w:lineRule="atLeast"/>
        <w:rPr>
          <w:rFonts w:ascii="Times New Roman" w:eastAsia="黑体" w:hAnsi="Times New Roman" w:hint="default"/>
          <w:sz w:val="32"/>
          <w:szCs w:val="32"/>
        </w:rPr>
      </w:pPr>
      <w:r>
        <w:rPr>
          <w:rStyle w:val="a8"/>
          <w:rFonts w:ascii="Times New Roman" w:eastAsia="黑体" w:hAnsi="Times New Roman" w:hint="default"/>
          <w:sz w:val="32"/>
          <w:szCs w:val="32"/>
          <w:shd w:val="clear" w:color="auto" w:fill="FFFFFF"/>
        </w:rPr>
        <w:t>一、单位基本情况</w:t>
      </w:r>
    </w:p>
    <w:p w:rsidR="00E30BBA" w:rsidRDefault="00A4653C">
      <w:pPr>
        <w:pStyle w:val="a6"/>
        <w:shd w:val="clear" w:color="auto" w:fill="FFFFFF"/>
        <w:spacing w:beforeAutospacing="0" w:after="0" w:afterAutospacing="0" w:line="594" w:lineRule="atLeast"/>
        <w:ind w:firstLine="420"/>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（一）职能职责</w:t>
      </w:r>
    </w:p>
    <w:p w:rsidR="00E30BBA" w:rsidRDefault="00A4653C">
      <w:pPr>
        <w:spacing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1.</w:t>
      </w:r>
      <w:r>
        <w:rPr>
          <w:rFonts w:ascii="Times New Roman" w:eastAsia="方正仿宋_GBK" w:hAnsi="Times New Roman" w:hint="default"/>
          <w:sz w:val="32"/>
          <w:szCs w:val="32"/>
        </w:rPr>
        <w:t>承担残疾人社会保障服务具体工作，实施贫困残疾人生活补贴和重度残疾人护理补贴，协助有关部门做好残疾人养老保险和医疗保险缴费补贴等社会保障工作。</w:t>
      </w:r>
    </w:p>
    <w:p w:rsidR="00E30BBA" w:rsidRDefault="00A4653C">
      <w:pPr>
        <w:spacing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2.</w:t>
      </w:r>
      <w:r>
        <w:rPr>
          <w:rFonts w:ascii="Times New Roman" w:eastAsia="方正仿宋_GBK" w:hAnsi="Times New Roman" w:hint="default"/>
          <w:sz w:val="32"/>
          <w:szCs w:val="32"/>
        </w:rPr>
        <w:t>承担残疾人分散按比例就业的具体服务工作，指导和帮助残疾人就业，开展残疾人技能培训、就业咨询、就业指导、就业介绍等服务工作；承担残疾人失业登记、就业与失业统计等具体工作。</w:t>
      </w:r>
    </w:p>
    <w:p w:rsidR="00E30BBA" w:rsidRDefault="00A4653C">
      <w:pPr>
        <w:spacing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Times New Roman" w:eastAsia="方正仿宋_GBK" w:hAnsi="Times New Roman" w:hint="default"/>
          <w:sz w:val="32"/>
          <w:szCs w:val="32"/>
        </w:rPr>
        <w:t>实施残疾人教育工作计划，开展残疾儿童入园、青少年入学、大学生救助等工作，负责盲文、聋人手语的推广运用。</w:t>
      </w:r>
    </w:p>
    <w:p w:rsidR="00E30BBA" w:rsidRDefault="00A4653C">
      <w:pPr>
        <w:spacing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Times New Roman" w:eastAsia="方正仿宋_GBK" w:hAnsi="Times New Roman" w:hint="default"/>
          <w:sz w:val="32"/>
          <w:szCs w:val="32"/>
        </w:rPr>
        <w:t>开展残疾人康复训练，组织残疾儿童筛查，实施残疾儿童康复训练和矫治转介服务；开展残疾预防的宣传和辅导工作；指导社区康复服务，督促检查社区康复训练和服务；开展残疾人辅助器</w:t>
      </w:r>
      <w:r w:rsidR="00987E10">
        <w:rPr>
          <w:rFonts w:ascii="Times New Roman" w:eastAsia="方正仿宋_GBK" w:hAnsi="Times New Roman"/>
          <w:sz w:val="32"/>
          <w:szCs w:val="32"/>
        </w:rPr>
        <w:t>具</w:t>
      </w:r>
      <w:r>
        <w:rPr>
          <w:rFonts w:ascii="Times New Roman" w:eastAsia="方正仿宋_GBK" w:hAnsi="Times New Roman" w:hint="default"/>
          <w:sz w:val="32"/>
          <w:szCs w:val="32"/>
        </w:rPr>
        <w:t>需求调查和适配工作；做好残疾人辅助器具展示、供应等服务工作。</w:t>
      </w:r>
    </w:p>
    <w:p w:rsidR="00E30BBA" w:rsidRDefault="00A4653C">
      <w:pPr>
        <w:spacing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5.</w:t>
      </w:r>
      <w:r>
        <w:rPr>
          <w:rFonts w:ascii="Times New Roman" w:eastAsia="方正仿宋_GBK" w:hAnsi="Times New Roman" w:hint="default"/>
          <w:sz w:val="32"/>
          <w:szCs w:val="32"/>
        </w:rPr>
        <w:t>开展残疾人扶贫调查，实施残疾人阳光安居工程、阳光家园计划和残疾人扶贫项目等。</w:t>
      </w:r>
    </w:p>
    <w:p w:rsidR="00E30BBA" w:rsidRDefault="00A4653C">
      <w:pPr>
        <w:spacing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6.</w:t>
      </w:r>
      <w:r>
        <w:rPr>
          <w:rFonts w:ascii="Times New Roman" w:eastAsia="方正仿宋_GBK" w:hAnsi="Times New Roman" w:hint="default"/>
          <w:sz w:val="32"/>
          <w:szCs w:val="32"/>
        </w:rPr>
        <w:t>开展残疾人文化艺术体育培训及文化艺术作品展示，组织残疾人参加才艺比赛和竞技体育比赛；开展群众性残疾人文化艺术体育活动；指导全县残疾人文化、艺术、体育业务工作；组织开展群众性助残活动等工作。</w:t>
      </w:r>
    </w:p>
    <w:p w:rsidR="00E30BBA" w:rsidRDefault="00A4653C">
      <w:pPr>
        <w:spacing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7.</w:t>
      </w:r>
      <w:r>
        <w:rPr>
          <w:rFonts w:ascii="Times New Roman" w:eastAsia="方正仿宋_GBK" w:hAnsi="Times New Roman" w:hint="default"/>
          <w:sz w:val="32"/>
          <w:szCs w:val="32"/>
        </w:rPr>
        <w:t>开展残疾人摸底调查，采集残疾人相关信息，指导乡镇（街道）开展残疾人服务工作。</w:t>
      </w:r>
    </w:p>
    <w:p w:rsidR="00E30BBA" w:rsidRDefault="00A4653C">
      <w:pPr>
        <w:spacing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8.</w:t>
      </w:r>
      <w:r w:rsidR="00987E10">
        <w:rPr>
          <w:rFonts w:ascii="Times New Roman" w:eastAsia="方正仿宋_GBK" w:hAnsi="Times New Roman" w:hint="default"/>
          <w:sz w:val="32"/>
          <w:szCs w:val="32"/>
        </w:rPr>
        <w:t>完成上级交办的其</w:t>
      </w:r>
      <w:r w:rsidR="00987E10">
        <w:rPr>
          <w:rFonts w:ascii="Times New Roman" w:eastAsia="方正仿宋_GBK" w:hAnsi="Times New Roman"/>
          <w:sz w:val="32"/>
          <w:szCs w:val="32"/>
        </w:rPr>
        <w:t>他</w:t>
      </w:r>
      <w:r>
        <w:rPr>
          <w:rFonts w:ascii="Times New Roman" w:eastAsia="方正仿宋_GBK" w:hAnsi="Times New Roman" w:hint="default"/>
          <w:sz w:val="32"/>
          <w:szCs w:val="32"/>
        </w:rPr>
        <w:t>工作。</w:t>
      </w:r>
    </w:p>
    <w:p w:rsidR="00E30BBA" w:rsidRDefault="00A4653C">
      <w:pPr>
        <w:pStyle w:val="a6"/>
        <w:shd w:val="clear" w:color="auto" w:fill="FFFFFF"/>
        <w:spacing w:beforeAutospacing="0" w:after="0" w:afterAutospacing="0" w:line="594" w:lineRule="atLeast"/>
        <w:ind w:firstLine="420"/>
        <w:rPr>
          <w:rFonts w:ascii="Times New Roman" w:eastAsia="楷体" w:hAnsi="Times New Roman" w:hint="default"/>
          <w:sz w:val="32"/>
          <w:szCs w:val="32"/>
        </w:rPr>
      </w:pPr>
      <w:r>
        <w:rPr>
          <w:rStyle w:val="a8"/>
          <w:rFonts w:ascii="Times New Roman" w:eastAsia="楷体" w:hAnsi="Times New Roman" w:hint="default"/>
          <w:sz w:val="32"/>
          <w:szCs w:val="32"/>
          <w:shd w:val="clear" w:color="auto" w:fill="FFFFFF"/>
        </w:rPr>
        <w:t>（二）机构设置</w:t>
      </w:r>
    </w:p>
    <w:p w:rsidR="00E30BBA" w:rsidRDefault="00A4653C">
      <w:pPr>
        <w:pStyle w:val="a6"/>
        <w:shd w:val="clear" w:color="auto" w:fill="FFFFFF"/>
        <w:spacing w:beforeAutospacing="0" w:after="0" w:afterAutospacing="0" w:line="594" w:lineRule="atLeas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忠县残疾人服务中心为忠县残疾人联合会下属正科级事业单位，设综合科、康复文体科、就业社保科</w:t>
      </w:r>
      <w:r>
        <w:rPr>
          <w:rFonts w:ascii="Times New Roman" w:eastAsia="方正仿宋_GBK" w:hAnsi="Times New Roman" w:hint="default"/>
          <w:sz w:val="32"/>
          <w:szCs w:val="32"/>
        </w:rPr>
        <w:t>3</w:t>
      </w:r>
      <w:r>
        <w:rPr>
          <w:rFonts w:ascii="Times New Roman" w:eastAsia="方正仿宋_GBK" w:hAnsi="Times New Roman" w:hint="default"/>
          <w:sz w:val="32"/>
          <w:szCs w:val="32"/>
        </w:rPr>
        <w:t>个内设科室。</w:t>
      </w:r>
    </w:p>
    <w:p w:rsidR="00E30BBA" w:rsidRDefault="00A4653C">
      <w:pPr>
        <w:pStyle w:val="a6"/>
        <w:shd w:val="clear" w:color="auto" w:fill="FFFFFF"/>
        <w:spacing w:beforeAutospacing="0" w:after="0" w:afterAutospacing="0" w:line="594" w:lineRule="atLeast"/>
        <w:ind w:firstLineChars="200" w:firstLine="643"/>
        <w:rPr>
          <w:rStyle w:val="a8"/>
          <w:rFonts w:ascii="Times New Roman" w:eastAsia="黑体" w:hAnsi="Times New Roman" w:hint="default"/>
          <w:sz w:val="32"/>
          <w:szCs w:val="32"/>
          <w:shd w:val="clear" w:color="auto" w:fill="FFFFFF"/>
        </w:rPr>
      </w:pPr>
      <w:r>
        <w:rPr>
          <w:rStyle w:val="a8"/>
          <w:rFonts w:ascii="Times New Roman" w:eastAsia="黑体" w:hAnsi="Times New Roman" w:hint="default"/>
          <w:sz w:val="32"/>
          <w:szCs w:val="32"/>
          <w:shd w:val="clear" w:color="auto" w:fill="FFFFFF"/>
        </w:rPr>
        <w:t>二、单位决算情况说明</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（一）收入支出决算总体情况说明。</w:t>
      </w:r>
    </w:p>
    <w:p w:rsidR="00E30BBA" w:rsidRDefault="00A4653C">
      <w:pPr>
        <w:pStyle w:val="a6"/>
        <w:shd w:val="clear" w:color="auto" w:fill="FFFFFF"/>
        <w:spacing w:beforeAutospacing="0" w:after="0" w:afterAutospacing="0" w:line="594" w:lineRule="atLeas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168</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168</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39.79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31.04%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168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39.79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31.04%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r>
        <w:rPr>
          <w:rFonts w:ascii="Times New Roman" w:eastAsia="方正仿宋_GBK" w:hAnsi="Times New Roman" w:hint="default"/>
          <w:sz w:val="32"/>
          <w:szCs w:val="32"/>
          <w:shd w:val="clear" w:color="auto" w:fill="FFFFFF"/>
        </w:rPr>
        <w:lastRenderedPageBreak/>
        <w:t>其中：财政拨款收入</w:t>
      </w:r>
      <w:r>
        <w:rPr>
          <w:rFonts w:ascii="Times New Roman" w:eastAsia="方正仿宋_GBK" w:hAnsi="Times New Roman" w:hint="default"/>
          <w:sz w:val="32"/>
          <w:szCs w:val="32"/>
        </w:rPr>
        <w:t>168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168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39.79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31.04%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168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（二）财政拨款收入支出决算总体情况说明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168</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39.79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31.04%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（三）一般公共预算财政拨款收入支出决算情况说明</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168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39.79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31.04%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18.35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12.26%</w:t>
      </w:r>
      <w:r>
        <w:rPr>
          <w:rFonts w:ascii="Times New Roman" w:eastAsia="方正仿宋_GBK" w:hAnsi="Times New Roman" w:hint="default"/>
          <w:sz w:val="32"/>
          <w:szCs w:val="32"/>
          <w:shd w:val="clear" w:color="auto" w:fill="FFFFFF"/>
        </w:rPr>
        <w:t>。主要原</w:t>
      </w:r>
      <w:r>
        <w:rPr>
          <w:rFonts w:ascii="Times New Roman" w:eastAsia="方正仿宋_GBK" w:hAnsi="Times New Roman" w:hint="default"/>
          <w:sz w:val="32"/>
          <w:szCs w:val="32"/>
          <w:shd w:val="clear" w:color="auto" w:fill="FFFFFF"/>
        </w:rPr>
        <w:t>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168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39.79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31.04%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18.35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12.26%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w:t>
      </w:r>
      <w:r>
        <w:rPr>
          <w:rFonts w:ascii="Times New Roman" w:eastAsia="方正仿宋_GBK" w:hAnsi="Times New Roman" w:hint="default"/>
          <w:sz w:val="32"/>
          <w:szCs w:val="32"/>
          <w:shd w:val="clear" w:color="auto" w:fill="FFFFFF"/>
        </w:rPr>
        <w:t>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t xml:space="preserve"> 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）教育支出</w:t>
      </w:r>
      <w:r>
        <w:rPr>
          <w:rFonts w:ascii="Times New Roman" w:eastAsia="方正仿宋_GBK" w:hAnsi="Times New Roman" w:hint="default"/>
          <w:sz w:val="32"/>
          <w:szCs w:val="32"/>
        </w:rPr>
        <w:t>0.74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0.44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0.29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64.44%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本年培训次数、人次增加。</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153.40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91.31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18.10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13.38%</w:t>
      </w:r>
      <w:r>
        <w:rPr>
          <w:rFonts w:ascii="Times New Roman" w:eastAsia="方正仿宋_GBK" w:hAnsi="Times New Roman" w:hint="default"/>
          <w:sz w:val="32"/>
          <w:szCs w:val="32"/>
          <w:shd w:val="clear" w:color="auto" w:fill="FFFFFF"/>
        </w:rPr>
        <w:t>，</w:t>
      </w:r>
      <w:r>
        <w:rPr>
          <w:rStyle w:val="20"/>
          <w:rFonts w:eastAsia="方正仿宋_GBK" w:hint="eastAsia"/>
          <w:b w:val="0"/>
          <w:bCs w:val="0"/>
          <w:sz w:val="32"/>
          <w:szCs w:val="32"/>
          <w:shd w:val="clear" w:color="auto" w:fill="FFFFFF"/>
        </w:rPr>
        <w:t>主要原因是其他残疾人事业支出增加</w:t>
      </w:r>
      <w:r>
        <w:rPr>
          <w:rStyle w:val="20"/>
          <w:rFonts w:eastAsia="方正仿宋_GBK" w:hint="eastAsia"/>
          <w:b w:val="0"/>
          <w:bCs w:val="0"/>
          <w:sz w:val="32"/>
          <w:szCs w:val="32"/>
          <w:shd w:val="clear" w:color="auto" w:fill="FFFFFF"/>
        </w:rPr>
        <w:t>。</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7.08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4.21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0.70%</w:t>
      </w:r>
      <w:r>
        <w:rPr>
          <w:rFonts w:ascii="Times New Roman" w:eastAsia="方正仿宋_GBK" w:hAnsi="Times New Roman"/>
          <w:sz w:val="32"/>
          <w:szCs w:val="32"/>
          <w:shd w:val="clear" w:color="auto" w:fill="FFFFFF"/>
        </w:rPr>
        <w:t>。</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6.78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4.0</w:t>
      </w:r>
      <w:r>
        <w:rPr>
          <w:rFonts w:ascii="Times New Roman" w:eastAsia="方正仿宋_GBK" w:hAnsi="Times New Roman" w:hint="default"/>
          <w:sz w:val="32"/>
          <w:szCs w:val="32"/>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（四）一般公共预算财政拨款基本支出决算情况说明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168</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149.16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35.25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30.95%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lastRenderedPageBreak/>
        <w:t>主要原因是</w:t>
      </w:r>
      <w:r>
        <w:rPr>
          <w:rFonts w:ascii="Times New Roman" w:eastAsia="方正仿宋_GBK" w:hAnsi="Times New Roman" w:hint="default"/>
          <w:sz w:val="32"/>
          <w:szCs w:val="32"/>
          <w:shd w:val="clear" w:color="auto" w:fill="FFFFFF"/>
        </w:rPr>
        <w:t>清算以前年度工资津补贴，以及人员薪级、岗位等级变化引起社保、公积金基数调整等。</w:t>
      </w:r>
      <w:r>
        <w:rPr>
          <w:rFonts w:ascii="Times New Roman" w:eastAsia="方正仿宋_GBK" w:hAnsi="Times New Roman" w:hint="default"/>
          <w:sz w:val="32"/>
          <w:szCs w:val="32"/>
          <w:shd w:val="clear" w:color="auto" w:fill="FFFFFF"/>
        </w:rPr>
        <w:t>人员经费用途主要包括</w:t>
      </w:r>
      <w:r>
        <w:rPr>
          <w:rFonts w:ascii="Times New Roman" w:eastAsia="方正仿宋_GBK" w:hAnsi="Times New Roman" w:hint="default"/>
          <w:sz w:val="31"/>
          <w:szCs w:val="31"/>
          <w:shd w:val="clear" w:color="auto" w:fill="FFFFFF"/>
        </w:rPr>
        <w:t>基本工资、津贴补贴、奖金、其他工资福利支出、社会保障支</w:t>
      </w:r>
      <w:r>
        <w:rPr>
          <w:rFonts w:ascii="Times New Roman" w:eastAsia="方正仿宋_GBK" w:hAnsi="Times New Roman" w:hint="default"/>
          <w:sz w:val="31"/>
          <w:szCs w:val="31"/>
          <w:shd w:val="clear" w:color="auto" w:fill="FFFFFF"/>
        </w:rPr>
        <w:t>出、卫生健康支出、住房保</w:t>
      </w:r>
      <w:r>
        <w:rPr>
          <w:rFonts w:ascii="Times New Roman" w:eastAsia="方正仿宋_GBK" w:hAnsi="Times New Roman" w:hint="default"/>
          <w:sz w:val="31"/>
          <w:szCs w:val="31"/>
          <w:shd w:val="clear" w:color="auto" w:fill="FFFFFF"/>
        </w:rPr>
        <w:t>障支出等</w:t>
      </w:r>
      <w:r>
        <w:rPr>
          <w:rFonts w:ascii="Times New Roman" w:eastAsia="方正仿宋_GBK" w:hAnsi="Times New Roman" w:hint="default"/>
          <w:sz w:val="31"/>
          <w:szCs w:val="31"/>
          <w:shd w:val="clear" w:color="auto" w:fill="FFFFFF"/>
        </w:rPr>
        <w:t>。</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18.84</w:t>
      </w:r>
      <w:r>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shd w:val="clear" w:color="auto" w:fill="FFFFFF"/>
        </w:rPr>
        <w:t>元，较上年决算数增加</w:t>
      </w:r>
      <w:r>
        <w:rPr>
          <w:rFonts w:ascii="Times New Roman" w:eastAsia="方正仿宋_GBK" w:hAnsi="Times New Roman" w:hint="default"/>
          <w:sz w:val="32"/>
          <w:szCs w:val="32"/>
          <w:shd w:val="clear" w:color="auto" w:fill="FFFFFF"/>
        </w:rPr>
        <w:t>4.54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31.75%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其他商品服务支出有所增加</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公用经费用途主要包括</w:t>
      </w:r>
      <w:r>
        <w:rPr>
          <w:rFonts w:ascii="Times New Roman" w:eastAsia="方正仿宋_GBK" w:hAnsi="Times New Roman" w:hint="default"/>
          <w:sz w:val="31"/>
          <w:szCs w:val="31"/>
          <w:shd w:val="clear" w:color="auto" w:fill="FFFFFF"/>
        </w:rPr>
        <w:t>办公费、印刷费、邮电费、差旅费、维修费、其他交通费用、其他商品和服务支出等</w:t>
      </w:r>
      <w:r>
        <w:rPr>
          <w:rFonts w:ascii="Times New Roman" w:eastAsia="方正仿宋_GBK" w:hAnsi="Times New Roman" w:hint="default"/>
          <w:sz w:val="31"/>
          <w:szCs w:val="31"/>
          <w:shd w:val="clear" w:color="auto" w:fill="FFFFFF"/>
        </w:rPr>
        <w:t>。</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（五）政府性基金预算收支决算情况说明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（六）国有资本经营预算财政拨款支出决算情况说明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E30BBA" w:rsidRDefault="00A4653C">
      <w:pPr>
        <w:pStyle w:val="a6"/>
        <w:shd w:val="clear" w:color="auto" w:fill="FFFFFF"/>
        <w:spacing w:beforeAutospacing="0" w:after="0" w:afterAutospacing="0" w:line="594" w:lineRule="atLeast"/>
        <w:rPr>
          <w:rStyle w:val="a8"/>
          <w:rFonts w:ascii="Times New Roman" w:eastAsia="黑体" w:hAnsi="Times New Roman" w:hint="default"/>
          <w:sz w:val="32"/>
          <w:szCs w:val="32"/>
          <w:shd w:val="clear" w:color="auto" w:fill="FFFFFF"/>
        </w:rPr>
      </w:pPr>
      <w:r>
        <w:rPr>
          <w:rStyle w:val="a8"/>
          <w:rFonts w:ascii="Times New Roman" w:eastAsia="黑体" w:hAnsi="Times New Roman" w:hint="default"/>
          <w:sz w:val="32"/>
          <w:szCs w:val="32"/>
          <w:shd w:val="clear" w:color="auto" w:fill="FFFFFF"/>
        </w:rPr>
        <w:t>三、</w:t>
      </w:r>
      <w:r>
        <w:rPr>
          <w:rStyle w:val="a8"/>
          <w:rFonts w:ascii="Times New Roman" w:eastAsia="黑体" w:hAnsi="Times New Roman" w:hint="default"/>
          <w:sz w:val="32"/>
          <w:szCs w:val="32"/>
          <w:shd w:val="clear" w:color="auto" w:fill="FFFFFF"/>
        </w:rPr>
        <w:t>“</w:t>
      </w:r>
      <w:r>
        <w:rPr>
          <w:rStyle w:val="a8"/>
          <w:rFonts w:ascii="Times New Roman" w:eastAsia="黑体" w:hAnsi="Times New Roman" w:hint="default"/>
          <w:sz w:val="32"/>
          <w:szCs w:val="32"/>
          <w:shd w:val="clear" w:color="auto" w:fill="FFFFFF"/>
        </w:rPr>
        <w:t>三公</w:t>
      </w:r>
      <w:r>
        <w:rPr>
          <w:rStyle w:val="a8"/>
          <w:rFonts w:ascii="Times New Roman" w:eastAsia="黑体" w:hAnsi="Times New Roman" w:hint="default"/>
          <w:sz w:val="32"/>
          <w:szCs w:val="32"/>
          <w:shd w:val="clear" w:color="auto" w:fill="FFFFFF"/>
        </w:rPr>
        <w:t>”</w:t>
      </w:r>
      <w:r>
        <w:rPr>
          <w:rStyle w:val="a8"/>
          <w:rFonts w:ascii="Times New Roman" w:eastAsia="黑体" w:hAnsi="Times New Roman" w:hint="default"/>
          <w:sz w:val="32"/>
          <w:szCs w:val="32"/>
          <w:shd w:val="clear" w:color="auto" w:fill="FFFFFF"/>
        </w:rPr>
        <w:t>经费情况说明</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 xml:space="preserve"> </w:t>
      </w:r>
      <w:r>
        <w:rPr>
          <w:rFonts w:ascii="Times New Roman" w:eastAsia="楷体" w:hAnsi="Times New Roman"/>
          <w:b/>
          <w:bCs/>
          <w:sz w:val="32"/>
          <w:szCs w:val="32"/>
          <w:shd w:val="clear" w:color="auto" w:fill="FFFFFF"/>
        </w:rPr>
        <w:t>（一）</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经费支出总体情况说明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经费由残联机关列支</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0.46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经费由残联机关列支。</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经费分项支出情况</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1"/>
          <w:szCs w:val="31"/>
          <w:shd w:val="clear" w:color="auto" w:fill="FFFFFF"/>
        </w:rPr>
        <w:t>费用支出较年初</w:t>
      </w:r>
      <w:proofErr w:type="gramStart"/>
      <w:r>
        <w:rPr>
          <w:rFonts w:ascii="Times New Roman" w:eastAsia="方正仿宋_GBK" w:hAnsi="Times New Roman" w:hint="default"/>
          <w:sz w:val="31"/>
          <w:szCs w:val="31"/>
          <w:shd w:val="clear" w:color="auto" w:fill="FFFFFF"/>
        </w:rPr>
        <w:t>预算数无增减</w:t>
      </w:r>
      <w:proofErr w:type="gramEnd"/>
      <w:r>
        <w:rPr>
          <w:rFonts w:ascii="Times New Roman" w:eastAsia="方正仿宋_GBK" w:hAnsi="Times New Roman" w:hint="default"/>
          <w:sz w:val="31"/>
          <w:szCs w:val="31"/>
          <w:shd w:val="clear" w:color="auto" w:fill="FFFFFF"/>
        </w:rPr>
        <w:t>，较上年</w:t>
      </w:r>
      <w:proofErr w:type="gramStart"/>
      <w:r>
        <w:rPr>
          <w:rFonts w:ascii="Times New Roman" w:eastAsia="方正仿宋_GBK" w:hAnsi="Times New Roman" w:hint="default"/>
          <w:sz w:val="31"/>
          <w:szCs w:val="31"/>
          <w:shd w:val="clear" w:color="auto" w:fill="FFFFFF"/>
        </w:rPr>
        <w:t>支出数无增减</w:t>
      </w:r>
      <w:proofErr w:type="gramEnd"/>
      <w:r>
        <w:rPr>
          <w:rFonts w:ascii="Times New Roman" w:eastAsia="方正仿宋_GBK" w:hAnsi="Times New Roman" w:hint="default"/>
          <w:sz w:val="31"/>
          <w:szCs w:val="31"/>
          <w:shd w:val="clear" w:color="auto" w:fill="FFFFFF"/>
        </w:rPr>
        <w:t>。</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1"/>
          <w:szCs w:val="31"/>
          <w:shd w:val="clear" w:color="auto" w:fill="FFFFFF"/>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1"/>
          <w:szCs w:val="31"/>
          <w:shd w:val="clear" w:color="auto" w:fill="FFFFFF"/>
        </w:rPr>
        <w:t>公务车购置费</w:t>
      </w:r>
      <w:r>
        <w:rPr>
          <w:rFonts w:ascii="Times New Roman" w:hAnsi="Times New Roman" w:hint="default"/>
          <w:sz w:val="31"/>
          <w:szCs w:val="31"/>
        </w:rPr>
        <w:t>0</w:t>
      </w:r>
      <w:r>
        <w:rPr>
          <w:rFonts w:ascii="Times New Roman" w:eastAsia="方正仿宋_GBK" w:hAnsi="Times New Roman" w:hint="default"/>
          <w:sz w:val="31"/>
          <w:szCs w:val="31"/>
          <w:shd w:val="clear" w:color="auto" w:fill="FFFFFF"/>
        </w:rPr>
        <w:t>万元</w:t>
      </w:r>
      <w:r>
        <w:rPr>
          <w:rFonts w:ascii="Times New Roman" w:eastAsia="方正仿宋_GBK" w:hAnsi="Times New Roman" w:hint="default"/>
          <w:sz w:val="31"/>
          <w:szCs w:val="31"/>
          <w:shd w:val="clear" w:color="auto" w:fill="FFFFFF"/>
        </w:rPr>
        <w:t>，费用支出较年初</w:t>
      </w:r>
      <w:proofErr w:type="gramStart"/>
      <w:r>
        <w:rPr>
          <w:rFonts w:ascii="Times New Roman" w:eastAsia="方正仿宋_GBK" w:hAnsi="Times New Roman" w:hint="default"/>
          <w:sz w:val="31"/>
          <w:szCs w:val="31"/>
          <w:shd w:val="clear" w:color="auto" w:fill="FFFFFF"/>
        </w:rPr>
        <w:t>预算数无增减</w:t>
      </w:r>
      <w:proofErr w:type="gramEnd"/>
      <w:r>
        <w:rPr>
          <w:rFonts w:ascii="Times New Roman" w:eastAsia="方正仿宋_GBK" w:hAnsi="Times New Roman" w:hint="default"/>
          <w:sz w:val="31"/>
          <w:szCs w:val="31"/>
          <w:shd w:val="clear" w:color="auto" w:fill="FFFFFF"/>
        </w:rPr>
        <w:t>，较上年</w:t>
      </w:r>
      <w:proofErr w:type="gramStart"/>
      <w:r>
        <w:rPr>
          <w:rFonts w:ascii="Times New Roman" w:eastAsia="方正仿宋_GBK" w:hAnsi="Times New Roman" w:hint="default"/>
          <w:sz w:val="31"/>
          <w:szCs w:val="31"/>
          <w:shd w:val="clear" w:color="auto" w:fill="FFFFFF"/>
        </w:rPr>
        <w:t>支出数无增减</w:t>
      </w:r>
      <w:proofErr w:type="gramEnd"/>
      <w:r>
        <w:rPr>
          <w:rFonts w:ascii="Times New Roman" w:eastAsia="方正仿宋_GBK" w:hAnsi="Times New Roman" w:hint="default"/>
          <w:sz w:val="31"/>
          <w:szCs w:val="31"/>
          <w:shd w:val="clear" w:color="auto" w:fill="FFFFFF"/>
        </w:rPr>
        <w:t>。</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1"/>
          <w:szCs w:val="31"/>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w:t>
      </w:r>
      <w:r w:rsidR="00263AE0">
        <w:rPr>
          <w:rFonts w:ascii="Times New Roman" w:eastAsia="方正仿宋_GBK" w:hAnsi="Times New Roman"/>
          <w:sz w:val="32"/>
          <w:szCs w:val="32"/>
          <w:shd w:val="clear" w:color="auto" w:fill="FFFFFF"/>
        </w:rPr>
        <w:t>用</w:t>
      </w:r>
      <w:r>
        <w:rPr>
          <w:rFonts w:ascii="Times New Roman" w:eastAsia="方正仿宋_GBK" w:hAnsi="Times New Roman" w:hint="default"/>
          <w:sz w:val="32"/>
          <w:szCs w:val="32"/>
          <w:shd w:val="clear" w:color="auto" w:fill="FFFFFF"/>
        </w:rPr>
        <w:t>车运行维护费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4.00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经费由残联机关列支。</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w:t>
      </w:r>
      <w:r w:rsidR="00B077C4">
        <w:rPr>
          <w:rFonts w:ascii="Times New Roman" w:eastAsia="方正仿宋_GBK" w:hAnsi="Times New Roman" w:hint="default"/>
          <w:sz w:val="32"/>
          <w:szCs w:val="32"/>
          <w:shd w:val="clear" w:color="auto" w:fill="FFFFFF"/>
        </w:rPr>
        <w:t>费用支出较年初</w:t>
      </w:r>
      <w:proofErr w:type="gramStart"/>
      <w:r w:rsidR="00B077C4">
        <w:rPr>
          <w:rFonts w:ascii="Times New Roman" w:eastAsia="方正仿宋_GBK" w:hAnsi="Times New Roman" w:hint="default"/>
          <w:sz w:val="32"/>
          <w:szCs w:val="32"/>
          <w:shd w:val="clear" w:color="auto" w:fill="FFFFFF"/>
        </w:rPr>
        <w:t>预算数无增减</w:t>
      </w:r>
      <w:proofErr w:type="gramEnd"/>
      <w:r w:rsidR="00B077C4">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经费由残联机关列支。</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0.46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w:t>
      </w:r>
      <w:r w:rsidR="00B077C4">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是</w:t>
      </w:r>
      <w:r>
        <w:rPr>
          <w:rFonts w:ascii="Times New Roman" w:eastAsia="方正仿宋_GBK" w:hAnsi="Times New Roman" w:hint="default"/>
          <w:sz w:val="32"/>
          <w:szCs w:val="32"/>
          <w:shd w:val="clear" w:color="auto" w:fill="FFFFFF"/>
        </w:rPr>
        <w:t>经费由残联机关列支。</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经费实物量情况</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E30BBA" w:rsidRDefault="00A4653C">
      <w:pPr>
        <w:pStyle w:val="a6"/>
        <w:shd w:val="clear" w:color="auto" w:fill="FFFFFF"/>
        <w:spacing w:beforeAutospacing="0" w:after="0" w:afterAutospacing="0" w:line="594" w:lineRule="atLeast"/>
        <w:rPr>
          <w:rStyle w:val="a8"/>
          <w:rFonts w:ascii="Times New Roman" w:eastAsia="方正仿宋_GBK" w:hAnsi="Times New Roman" w:hint="default"/>
          <w:sz w:val="32"/>
          <w:szCs w:val="32"/>
          <w:shd w:val="clear" w:color="auto" w:fill="FFFFFF"/>
        </w:rPr>
      </w:pPr>
      <w:r>
        <w:rPr>
          <w:rStyle w:val="a8"/>
          <w:rFonts w:ascii="Times New Roman" w:eastAsia="黑体" w:hAnsi="Times New Roman" w:hint="default"/>
          <w:sz w:val="32"/>
          <w:szCs w:val="32"/>
          <w:shd w:val="clear" w:color="auto" w:fill="FFFFFF"/>
        </w:rPr>
        <w:t>四、其他需要说明的事项</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 xml:space="preserve">  </w:t>
      </w:r>
      <w:r>
        <w:rPr>
          <w:rFonts w:ascii="Times New Roman" w:eastAsia="楷体" w:hAnsi="Times New Roman"/>
          <w:b/>
          <w:bCs/>
          <w:sz w:val="32"/>
          <w:szCs w:val="32"/>
          <w:shd w:val="clear" w:color="auto" w:fill="FFFFFF"/>
        </w:rPr>
        <w:t>（一）财政拨款会议费和培训费情况说明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0.08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当年无会议开支</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0.74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311.11%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本年培训次数、人次增加</w:t>
      </w:r>
      <w:r>
        <w:rPr>
          <w:rFonts w:ascii="Times New Roman" w:eastAsia="方正仿宋_GBK" w:hAnsi="Times New Roman" w:hint="default"/>
          <w:sz w:val="32"/>
          <w:szCs w:val="32"/>
          <w:shd w:val="clear" w:color="auto" w:fill="FFFFFF"/>
        </w:rPr>
        <w:t>。</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（二）机关运行经费情况说明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按照部门决算列报口径，我单位不在机关运行经费统计范围之内。</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（三）国有资产占用情况说明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（四）政府采购支出情况说明</w:t>
      </w:r>
    </w:p>
    <w:p w:rsidR="00E30BBA" w:rsidRDefault="00A4653C">
      <w:pPr>
        <w:pStyle w:val="a6"/>
        <w:snapToGrid w:val="0"/>
        <w:spacing w:before="0" w:beforeAutospacing="0" w:after="0" w:afterAutospacing="0" w:line="594" w:lineRule="atLeas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年度我单位未发生政府采购事项，无相关经费支出。</w:t>
      </w:r>
    </w:p>
    <w:p w:rsidR="00E30BBA" w:rsidRDefault="00A4653C">
      <w:pPr>
        <w:pStyle w:val="a6"/>
        <w:numPr>
          <w:ilvl w:val="0"/>
          <w:numId w:val="1"/>
        </w:numPr>
        <w:shd w:val="clear" w:color="auto" w:fill="FFFFFF"/>
        <w:spacing w:beforeAutospacing="0" w:after="0" w:afterAutospacing="0" w:line="594" w:lineRule="atLeast"/>
        <w:rPr>
          <w:rStyle w:val="a8"/>
          <w:rFonts w:ascii="Times New Roman" w:eastAsia="黑体" w:hAnsi="Times New Roman" w:hint="default"/>
          <w:sz w:val="32"/>
          <w:szCs w:val="32"/>
          <w:shd w:val="clear" w:color="auto" w:fill="FFFFFF"/>
        </w:rPr>
      </w:pPr>
      <w:r>
        <w:rPr>
          <w:rStyle w:val="a8"/>
          <w:rFonts w:ascii="Times New Roman" w:eastAsia="黑体" w:hAnsi="Times New Roman" w:hint="default"/>
          <w:sz w:val="32"/>
          <w:szCs w:val="32"/>
          <w:shd w:val="clear" w:color="auto" w:fill="FFFFFF"/>
        </w:rPr>
        <w:t>预算绩效管理情况说明</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（一）单位自评情况</w:t>
      </w:r>
    </w:p>
    <w:p w:rsidR="00E30BBA" w:rsidRDefault="00A4653C">
      <w:pPr>
        <w:pStyle w:val="a6"/>
        <w:autoSpaceDE w:val="0"/>
        <w:spacing w:before="0" w:beforeAutospacing="0" w:afterAutospacing="0" w:line="594" w:lineRule="atLeast"/>
        <w:ind w:firstLine="645"/>
        <w:jc w:val="both"/>
        <w:rPr>
          <w:rFonts w:eastAsia="方正黑体_GBK" w:hint="default"/>
          <w:sz w:val="32"/>
          <w:szCs w:val="32"/>
        </w:rPr>
      </w:pPr>
      <w:r>
        <w:rPr>
          <w:rFonts w:eastAsia="方正仿宋_GBK"/>
          <w:sz w:val="31"/>
          <w:szCs w:val="31"/>
          <w:shd w:val="clear" w:color="auto" w:fill="FFFFFF"/>
        </w:rPr>
        <w:t>202</w:t>
      </w:r>
      <w:r>
        <w:rPr>
          <w:rFonts w:eastAsia="方正仿宋_GBK"/>
          <w:sz w:val="31"/>
          <w:szCs w:val="31"/>
          <w:shd w:val="clear" w:color="auto" w:fill="FFFFFF"/>
        </w:rPr>
        <w:t>3</w:t>
      </w:r>
      <w:r>
        <w:rPr>
          <w:rFonts w:eastAsia="方正仿宋_GBK"/>
          <w:sz w:val="31"/>
          <w:szCs w:val="31"/>
          <w:shd w:val="clear" w:color="auto" w:fill="FFFFFF"/>
        </w:rPr>
        <w:t>年度</w:t>
      </w:r>
      <w:r>
        <w:rPr>
          <w:rFonts w:eastAsia="方正仿宋_GBK"/>
          <w:sz w:val="31"/>
          <w:szCs w:val="31"/>
          <w:shd w:val="clear" w:color="auto" w:fill="FFFFFF"/>
        </w:rPr>
        <w:t>我单位无项目支出，</w:t>
      </w:r>
      <w:bookmarkStart w:id="0" w:name="_GoBack"/>
      <w:bookmarkEnd w:id="0"/>
      <w:r>
        <w:rPr>
          <w:rFonts w:eastAsia="方正仿宋_GBK"/>
          <w:sz w:val="31"/>
          <w:szCs w:val="31"/>
          <w:shd w:val="clear" w:color="auto" w:fill="FFFFFF"/>
        </w:rPr>
        <w:t>本单位未</w:t>
      </w:r>
      <w:r>
        <w:rPr>
          <w:rFonts w:eastAsia="方正仿宋_GBK"/>
          <w:sz w:val="31"/>
          <w:szCs w:val="31"/>
          <w:shd w:val="clear" w:color="auto" w:fill="FFFFFF"/>
        </w:rPr>
        <w:t>单独开展</w:t>
      </w:r>
      <w:r>
        <w:rPr>
          <w:rFonts w:eastAsia="方正仿宋_GBK"/>
          <w:sz w:val="31"/>
          <w:szCs w:val="31"/>
          <w:shd w:val="clear" w:color="auto" w:fill="FFFFFF"/>
        </w:rPr>
        <w:t>绩效目标自评。 </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（二）单位绩效评价情况</w:t>
      </w:r>
    </w:p>
    <w:p w:rsidR="00E30BBA" w:rsidRDefault="00A4653C">
      <w:pPr>
        <w:pStyle w:val="Char0"/>
        <w:autoSpaceDE w:val="0"/>
        <w:spacing w:before="0" w:beforeAutospacing="0" w:after="0" w:afterAutospacing="0" w:line="594" w:lineRule="atLeas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r>
        <w:rPr>
          <w:rFonts w:ascii="Times New Roman" w:eastAsia="方正仿宋_GBK" w:hAnsi="Times New Roman"/>
          <w:sz w:val="32"/>
          <w:szCs w:val="32"/>
          <w:shd w:val="clear" w:color="auto" w:fill="FFFFFF"/>
        </w:rPr>
        <w:t>。</w:t>
      </w:r>
    </w:p>
    <w:p w:rsidR="00E30BBA" w:rsidRDefault="00A4653C">
      <w:pPr>
        <w:pStyle w:val="1"/>
        <w:autoSpaceDE w:val="0"/>
        <w:spacing w:line="594" w:lineRule="atLeas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（三）财政绩效评价情况</w:t>
      </w:r>
    </w:p>
    <w:p w:rsidR="00E30BBA" w:rsidRDefault="00A4653C">
      <w:pPr>
        <w:pStyle w:val="Char0"/>
        <w:autoSpaceDE w:val="0"/>
        <w:spacing w:before="0" w:beforeAutospacing="0" w:after="0" w:afterAutospacing="0" w:line="594" w:lineRule="atLeas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市财政局未委托第三方对我单位开展绩效评价</w:t>
      </w:r>
      <w:r>
        <w:rPr>
          <w:rFonts w:ascii="Times New Roman" w:eastAsia="方正仿宋_GBK" w:hAnsi="Times New Roman"/>
          <w:sz w:val="32"/>
          <w:szCs w:val="32"/>
          <w:shd w:val="clear" w:color="auto" w:fill="FFFFFF"/>
        </w:rPr>
        <w:t>。</w:t>
      </w:r>
    </w:p>
    <w:p w:rsidR="00E30BBA" w:rsidRDefault="00A4653C">
      <w:pPr>
        <w:pStyle w:val="a6"/>
        <w:shd w:val="clear" w:color="auto" w:fill="FFFFFF"/>
        <w:spacing w:beforeAutospacing="0" w:after="0" w:afterAutospacing="0" w:line="594" w:lineRule="atLeast"/>
        <w:rPr>
          <w:rStyle w:val="a8"/>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 xml:space="preserve">  </w:t>
      </w:r>
      <w:r>
        <w:rPr>
          <w:rStyle w:val="a8"/>
          <w:rFonts w:ascii="Times New Roman" w:eastAsia="黑体" w:hAnsi="Times New Roman" w:hint="default"/>
          <w:sz w:val="32"/>
          <w:szCs w:val="32"/>
          <w:shd w:val="clear" w:color="auto" w:fill="FFFFFF"/>
        </w:rPr>
        <w:t>六、专业名词解释</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bCs/>
          <w:sz w:val="32"/>
          <w:szCs w:val="32"/>
          <w:shd w:val="clear" w:color="auto" w:fill="FFFFFF"/>
        </w:rPr>
        <w:t> </w:t>
      </w:r>
      <w:r>
        <w:rPr>
          <w:rFonts w:ascii="Times New Roman" w:eastAsia="楷体" w:hAnsi="Times New Roman" w:hint="default"/>
          <w:b/>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 </w:t>
      </w:r>
      <w:r>
        <w:rPr>
          <w:rStyle w:val="a8"/>
          <w:rFonts w:ascii="Times New Roman" w:eastAsia="楷体" w:hAnsi="Times New Roman" w:hint="default"/>
          <w:sz w:val="32"/>
          <w:szCs w:val="32"/>
          <w:shd w:val="clear" w:color="auto" w:fill="FFFFFF"/>
        </w:rPr>
        <w:t>（二）事业收入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（三）经营收入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（四）其他收入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Pr>
          <w:rFonts w:ascii="Times New Roman" w:eastAsia="方正仿宋_GBK" w:hAnsi="Times New Roman" w:hint="default"/>
          <w:sz w:val="32"/>
          <w:szCs w:val="32"/>
          <w:shd w:val="clear" w:color="auto" w:fill="FFFFFF"/>
        </w:rPr>
        <w:t>、从非本级财政部门取得的经费，以及行政单位收到的财政专户管理资金反映在本项内。</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（五）使用非财政拨款结余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（六）年初结转和结余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（七）结余分配</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（八）年末结转和结余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 </w:t>
      </w:r>
      <w:r>
        <w:rPr>
          <w:rStyle w:val="a8"/>
          <w:rFonts w:ascii="Times New Roman" w:eastAsia="楷体" w:hAnsi="Times New Roman" w:hint="default"/>
          <w:sz w:val="32"/>
          <w:szCs w:val="32"/>
          <w:shd w:val="clear" w:color="auto" w:fill="FFFFFF"/>
        </w:rPr>
        <w:t>（九）基本支出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（十）项目支出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（十一）经营支出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（十二）</w:t>
      </w:r>
      <w:r>
        <w:rPr>
          <w:rStyle w:val="a8"/>
          <w:rFonts w:ascii="Times New Roman" w:eastAsia="楷体" w:hAnsi="Times New Roman" w:hint="default"/>
          <w:sz w:val="32"/>
          <w:szCs w:val="32"/>
          <w:shd w:val="clear" w:color="auto" w:fill="FFFFFF"/>
        </w:rPr>
        <w:t>“</w:t>
      </w:r>
      <w:r>
        <w:rPr>
          <w:rStyle w:val="a8"/>
          <w:rFonts w:ascii="Times New Roman" w:eastAsia="楷体" w:hAnsi="Times New Roman" w:hint="default"/>
          <w:sz w:val="32"/>
          <w:szCs w:val="32"/>
          <w:shd w:val="clear" w:color="auto" w:fill="FFFFFF"/>
        </w:rPr>
        <w:t>三公</w:t>
      </w:r>
      <w:r>
        <w:rPr>
          <w:rStyle w:val="a8"/>
          <w:rFonts w:ascii="Times New Roman" w:eastAsia="楷体" w:hAnsi="Times New Roman" w:hint="default"/>
          <w:sz w:val="32"/>
          <w:szCs w:val="32"/>
          <w:shd w:val="clear" w:color="auto" w:fill="FFFFFF"/>
        </w:rPr>
        <w:t>”</w:t>
      </w:r>
      <w:r>
        <w:rPr>
          <w:rStyle w:val="a8"/>
          <w:rFonts w:ascii="Times New Roman" w:eastAsia="楷体" w:hAnsi="Times New Roman" w:hint="default"/>
          <w:sz w:val="32"/>
          <w:szCs w:val="32"/>
          <w:shd w:val="clear" w:color="auto" w:fill="FFFFFF"/>
        </w:rPr>
        <w:t>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（十三）机关运行经费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w:t>
      </w:r>
      <w:r>
        <w:rPr>
          <w:rFonts w:ascii="Times New Roman" w:eastAsia="方正仿宋_GBK" w:hAnsi="Times New Roman" w:hint="default"/>
          <w:sz w:val="32"/>
          <w:szCs w:val="32"/>
          <w:shd w:val="clear" w:color="auto" w:fill="FFFFFF"/>
        </w:rPr>
        <w:t>运行用于购买货物和服务等的各项公用经费，包括办公及印刷费、邮电费、差旅费、会议费、福利费、日常维护费、专用材料及一般设备购置费、办公用房水电费、办公用房</w:t>
      </w:r>
      <w:r>
        <w:rPr>
          <w:rFonts w:ascii="Times New Roman" w:eastAsia="方正仿宋_GBK" w:hAnsi="Times New Roman" w:hint="default"/>
          <w:sz w:val="32"/>
          <w:szCs w:val="32"/>
          <w:shd w:val="clear" w:color="auto" w:fill="FFFFFF"/>
        </w:rPr>
        <w:lastRenderedPageBreak/>
        <w:t>取暖费、办公用房物业管理费、公务用车运行维护费以及其他费用。</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（十四）工资福利支出（支出经济分类科目类级）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（十五）商品和服务支出（支出经济分类科目类级）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（十六）对个人</w:t>
      </w:r>
      <w:r>
        <w:rPr>
          <w:rStyle w:val="a8"/>
          <w:rFonts w:ascii="Times New Roman" w:eastAsia="楷体" w:hAnsi="Times New Roman" w:hint="default"/>
          <w:sz w:val="32"/>
          <w:szCs w:val="32"/>
          <w:shd w:val="clear" w:color="auto" w:fill="FFFFFF"/>
        </w:rPr>
        <w:t>和家庭的补助（支出经济分类科目类级）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rsidR="00E30BBA" w:rsidRDefault="00A4653C">
      <w:pPr>
        <w:pStyle w:val="a6"/>
        <w:snapToGrid w:val="0"/>
        <w:spacing w:before="0" w:beforeAutospacing="0" w:after="0" w:afterAutospacing="0" w:line="594" w:lineRule="atLeas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（十七）其他资本性支出（支出经济分类科目类级）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E30BBA" w:rsidRDefault="00A4653C">
      <w:pPr>
        <w:pStyle w:val="a6"/>
        <w:shd w:val="clear" w:color="auto" w:fill="FFFFFF"/>
        <w:spacing w:beforeAutospacing="0" w:after="0" w:afterAutospacing="0" w:line="594" w:lineRule="atLeast"/>
        <w:rPr>
          <w:rStyle w:val="a8"/>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 xml:space="preserve">  </w:t>
      </w:r>
      <w:r>
        <w:rPr>
          <w:rStyle w:val="a8"/>
          <w:rFonts w:ascii="Times New Roman" w:eastAsia="黑体" w:hAnsi="Times New Roman" w:hint="default"/>
          <w:sz w:val="32"/>
          <w:szCs w:val="32"/>
          <w:shd w:val="clear" w:color="auto" w:fill="FFFFFF"/>
        </w:rPr>
        <w:t>七、决算公开联系方式及信息反馈渠道</w:t>
      </w:r>
    </w:p>
    <w:p w:rsidR="00E30BBA" w:rsidRDefault="00A4653C">
      <w:pPr>
        <w:pStyle w:val="a6"/>
        <w:shd w:val="clear" w:color="auto" w:fill="FFFFFF"/>
        <w:spacing w:beforeAutospacing="0" w:after="0" w:afterAutospacing="0" w:line="594" w:lineRule="atLeast"/>
        <w:ind w:firstLineChars="200" w:firstLine="640"/>
        <w:rPr>
          <w:rStyle w:val="a8"/>
          <w:rFonts w:ascii="Times New Roman" w:eastAsia="方正仿宋_GBK" w:hAnsi="Times New Roman" w:hint="default"/>
          <w:sz w:val="32"/>
          <w:szCs w:val="32"/>
          <w:shd w:val="clear" w:color="auto" w:fill="FFFF00"/>
        </w:r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rPr>
        <w:t>023-54453513</w:t>
      </w:r>
    </w:p>
    <w:p w:rsidR="00E30BBA" w:rsidRDefault="00E30BBA">
      <w:pPr>
        <w:pStyle w:val="1"/>
        <w:autoSpaceDE w:val="0"/>
        <w:spacing w:line="594" w:lineRule="atLeast"/>
        <w:ind w:firstLineChars="0" w:firstLine="0"/>
        <w:rPr>
          <w:rStyle w:val="a8"/>
          <w:rFonts w:ascii="Times New Roman" w:eastAsia="方正仿宋_GBK" w:hAnsi="Times New Roman"/>
          <w:sz w:val="32"/>
          <w:szCs w:val="32"/>
          <w:shd w:val="clear" w:color="auto" w:fill="FFFF00"/>
        </w:rPr>
        <w:sectPr w:rsidR="00E30BBA">
          <w:headerReference w:type="even" r:id="rId8"/>
          <w:headerReference w:type="default" r:id="rId9"/>
          <w:footerReference w:type="even" r:id="rId10"/>
          <w:footerReference w:type="default" r:id="rId11"/>
          <w:headerReference w:type="first" r:id="rId12"/>
          <w:footerReference w:type="first" r:id="rId13"/>
          <w:pgSz w:w="11915" w:h="16840"/>
          <w:pgMar w:top="1984" w:right="1446" w:bottom="1644" w:left="1446" w:header="851" w:footer="992" w:gutter="0"/>
          <w:pgNumType w:fmt="numberInDash"/>
          <w:cols w:space="720"/>
          <w:docGrid w:type="lines" w:linePitch="312"/>
        </w:sectPr>
      </w:pPr>
    </w:p>
    <w:p w:rsidR="00E30BBA" w:rsidRDefault="00E30BBA">
      <w:pPr>
        <w:spacing w:line="594" w:lineRule="atLeast"/>
        <w:rPr>
          <w:rFonts w:ascii="Times New Roman" w:hAnsi="Times New Roman" w:hint="default"/>
          <w:sz w:val="21"/>
          <w:szCs w:val="21"/>
        </w:rPr>
      </w:pPr>
    </w:p>
    <w:tbl>
      <w:tblPr>
        <w:tblW w:w="5005" w:type="pct"/>
        <w:tblCellMar>
          <w:left w:w="0" w:type="dxa"/>
          <w:right w:w="0" w:type="dxa"/>
        </w:tblCellMar>
        <w:tblLook w:val="04A0"/>
      </w:tblPr>
      <w:tblGrid>
        <w:gridCol w:w="4656"/>
        <w:gridCol w:w="1836"/>
        <w:gridCol w:w="4371"/>
        <w:gridCol w:w="3128"/>
      </w:tblGrid>
      <w:tr w:rsidR="00E30BBA">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收入支出决算总表</w:t>
            </w:r>
          </w:p>
        </w:tc>
      </w:tr>
      <w:tr w:rsidR="00E30BBA">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01</w:t>
            </w:r>
            <w:r>
              <w:rPr>
                <w:rFonts w:ascii="Times New Roman" w:hAnsi="Times New Roman" w:hint="default"/>
                <w:color w:val="000000"/>
                <w:sz w:val="20"/>
                <w:szCs w:val="20"/>
              </w:rPr>
              <w:t>表</w:t>
            </w:r>
          </w:p>
        </w:tc>
      </w:tr>
      <w:tr w:rsidR="00E30BBA">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22"/>
                <w:szCs w:val="22"/>
              </w:rPr>
            </w:pPr>
            <w:r>
              <w:rPr>
                <w:rFonts w:ascii="Times New Roman" w:hAnsi="Times New Roman" w:hint="default"/>
                <w:sz w:val="20"/>
                <w:szCs w:val="20"/>
              </w:rPr>
              <w:t>公开单位：</w:t>
            </w:r>
            <w:r>
              <w:rPr>
                <w:rFonts w:ascii="Times New Roman" w:hAnsi="Times New Roman" w:hint="default"/>
                <w:sz w:val="20"/>
              </w:rPr>
              <w:t>重庆市忠县残疾人服务中心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支出</w:t>
            </w: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168.00</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153.40</w:t>
            </w: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7.08</w:t>
            </w: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二十六、抗</w:t>
            </w:r>
            <w:proofErr w:type="gramStart"/>
            <w:r>
              <w:rPr>
                <w:rFonts w:ascii="Times New Roman" w:hAnsi="Times New Roman" w:hint="default"/>
                <w:color w:val="000000"/>
                <w:sz w:val="20"/>
                <w:szCs w:val="20"/>
              </w:rPr>
              <w:t>疫</w:t>
            </w:r>
            <w:proofErr w:type="gramEnd"/>
            <w:r>
              <w:rPr>
                <w:rFonts w:ascii="Times New Roman" w:hAnsi="Times New Roman" w:hint="default"/>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168.00</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168.00</w:t>
            </w: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textAlignment w:val="center"/>
              <w:rPr>
                <w:rFonts w:ascii="Times New Roman" w:hAnsi="Times New Roman" w:hint="default"/>
                <w:color w:val="000000"/>
                <w:sz w:val="20"/>
                <w:szCs w:val="20"/>
              </w:rPr>
            </w:pPr>
          </w:p>
        </w:tc>
      </w:tr>
      <w:tr w:rsidR="00E30BBA">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168.00</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168.00</w:t>
            </w:r>
          </w:p>
        </w:tc>
      </w:tr>
    </w:tbl>
    <w:p w:rsidR="00E30BBA" w:rsidRDefault="00A4653C">
      <w:pPr>
        <w:spacing w:line="594" w:lineRule="atLeas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lastRenderedPageBreak/>
        <w:br/>
      </w:r>
    </w:p>
    <w:tbl>
      <w:tblPr>
        <w:tblW w:w="5000" w:type="pct"/>
        <w:tblLayout w:type="fixed"/>
        <w:tblCellMar>
          <w:left w:w="0" w:type="dxa"/>
          <w:right w:w="0" w:type="dxa"/>
        </w:tblCellMar>
        <w:tblLook w:val="04A0"/>
      </w:tblPr>
      <w:tblGrid>
        <w:gridCol w:w="1546"/>
        <w:gridCol w:w="2882"/>
        <w:gridCol w:w="1121"/>
        <w:gridCol w:w="1121"/>
        <w:gridCol w:w="1121"/>
        <w:gridCol w:w="1121"/>
        <w:gridCol w:w="1241"/>
        <w:gridCol w:w="1188"/>
        <w:gridCol w:w="1308"/>
        <w:gridCol w:w="1328"/>
      </w:tblGrid>
      <w:tr w:rsidR="00E30BBA">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收入决算表</w:t>
            </w:r>
          </w:p>
        </w:tc>
      </w:tr>
      <w:tr w:rsidR="00E30BBA">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sz w:val="20"/>
              </w:rPr>
              <w:t>重庆市忠县残疾人服务中心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02</w:t>
            </w:r>
            <w:r>
              <w:rPr>
                <w:rFonts w:ascii="Times New Roman" w:hAnsi="Times New Roman" w:hint="default"/>
                <w:color w:val="000000"/>
                <w:sz w:val="20"/>
                <w:szCs w:val="20"/>
              </w:rPr>
              <w:t>表</w:t>
            </w:r>
          </w:p>
        </w:tc>
      </w:tr>
      <w:tr w:rsidR="00E30BBA">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其他收入</w:t>
            </w:r>
          </w:p>
        </w:tc>
      </w:tr>
      <w:tr w:rsidR="00E30BBA">
        <w:trPr>
          <w:trHeight w:val="59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168.00</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168.00</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教育支出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20508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进修及培训</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2050803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培训支出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153.40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153.40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8.80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8.80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20811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137.90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137.90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其他残疾人事业支出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137.90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137.90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bl>
    <w:p w:rsidR="00E30BBA" w:rsidRDefault="00A4653C">
      <w:pPr>
        <w:spacing w:line="594" w:lineRule="atLeast"/>
        <w:ind w:left="600" w:hangingChars="300" w:hanging="600"/>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本表反映单位本年度取得的各项收入情况。</w:t>
      </w:r>
      <w:r>
        <w:rPr>
          <w:rFonts w:ascii="Times New Roman" w:hAnsi="Times New Roman" w:hint="default"/>
          <w:sz w:val="20"/>
          <w:szCs w:val="20"/>
        </w:rPr>
        <w:br/>
      </w:r>
      <w:r>
        <w:rPr>
          <w:rFonts w:ascii="Times New Roman" w:hAnsi="Times New Roman" w:hint="default"/>
          <w:sz w:val="20"/>
          <w:szCs w:val="20"/>
        </w:rPr>
        <w:t>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E30BBA" w:rsidRDefault="00A4653C">
      <w:pPr>
        <w:spacing w:line="594" w:lineRule="atLeast"/>
        <w:rPr>
          <w:rFonts w:ascii="Times New Roman" w:hAnsi="Times New Roman" w:hint="default"/>
          <w:sz w:val="20"/>
          <w:szCs w:val="20"/>
        </w:rPr>
      </w:pPr>
      <w:r>
        <w:rPr>
          <w:rFonts w:ascii="Times New Roman" w:hAnsi="Times New Roman" w:hint="default"/>
          <w:sz w:val="20"/>
          <w:szCs w:val="20"/>
        </w:rPr>
        <w:br w:type="page"/>
      </w:r>
    </w:p>
    <w:tbl>
      <w:tblPr>
        <w:tblW w:w="5000" w:type="pct"/>
        <w:tblCellMar>
          <w:left w:w="0" w:type="dxa"/>
          <w:right w:w="0" w:type="dxa"/>
        </w:tblCellMar>
        <w:tblLook w:val="04A0"/>
      </w:tblPr>
      <w:tblGrid>
        <w:gridCol w:w="1637"/>
        <w:gridCol w:w="3230"/>
        <w:gridCol w:w="1495"/>
        <w:gridCol w:w="1520"/>
        <w:gridCol w:w="1520"/>
        <w:gridCol w:w="1506"/>
        <w:gridCol w:w="1506"/>
        <w:gridCol w:w="1563"/>
      </w:tblGrid>
      <w:tr w:rsidR="00E30BBA">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支出决算表</w:t>
            </w:r>
          </w:p>
        </w:tc>
      </w:tr>
      <w:tr w:rsidR="00E30BBA">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重庆市忠县残疾人服务中心</w:t>
            </w:r>
            <w:r>
              <w:rPr>
                <w:rFonts w:ascii="Times New Roman" w:hAnsi="Times New Roman" w:hint="default"/>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03</w:t>
            </w:r>
            <w:r>
              <w:rPr>
                <w:rFonts w:ascii="Times New Roman" w:hAnsi="Times New Roman" w:hint="default"/>
                <w:color w:val="000000"/>
                <w:sz w:val="20"/>
                <w:szCs w:val="20"/>
              </w:rPr>
              <w:t>表</w:t>
            </w:r>
          </w:p>
        </w:tc>
      </w:tr>
      <w:tr w:rsidR="00E30BBA">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对附属单位补助支出</w:t>
            </w:r>
          </w:p>
        </w:tc>
      </w:tr>
      <w:tr w:rsidR="00E30BBA">
        <w:trPr>
          <w:trHeight w:val="594"/>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168.00</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168.00</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教育支出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20508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进修及培训</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2050803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培训支出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153.40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153.40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20811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137.90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137.90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其他残疾人事业支出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137.90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137.90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r w:rsidR="00E30B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20"/>
                <w:szCs w:val="20"/>
              </w:rPr>
            </w:pPr>
          </w:p>
        </w:tc>
      </w:tr>
    </w:tbl>
    <w:p w:rsidR="00E30BBA" w:rsidRDefault="00A4653C">
      <w:pPr>
        <w:spacing w:line="594" w:lineRule="atLeast"/>
        <w:rPr>
          <w:rFonts w:ascii="Times New Roman" w:hAnsi="Times New Roman" w:hint="default"/>
          <w:sz w:val="20"/>
          <w:szCs w:val="20"/>
        </w:rPr>
      </w:pPr>
      <w:r>
        <w:rPr>
          <w:rFonts w:ascii="Times New Roman" w:hAnsi="Times New Roman" w:hint="default"/>
          <w:sz w:val="20"/>
          <w:szCs w:val="20"/>
        </w:rPr>
        <w:lastRenderedPageBreak/>
        <w:t>备注：</w:t>
      </w:r>
      <w:r>
        <w:rPr>
          <w:rFonts w:ascii="Times New Roman" w:hAnsi="Times New Roman" w:hint="default"/>
          <w:sz w:val="20"/>
          <w:szCs w:val="20"/>
        </w:rPr>
        <w:t>1.</w:t>
      </w:r>
      <w:r>
        <w:rPr>
          <w:rFonts w:ascii="Times New Roman" w:hAnsi="Times New Roman" w:hint="default"/>
          <w:sz w:val="20"/>
          <w:szCs w:val="20"/>
        </w:rPr>
        <w:t>本表反映单位本年度各项支出情况。</w:t>
      </w:r>
      <w:r>
        <w:rPr>
          <w:rFonts w:ascii="Times New Roman" w:hAnsi="Times New Roman" w:hint="default"/>
          <w:sz w:val="20"/>
          <w:szCs w:val="20"/>
        </w:rPr>
        <w:br/>
      </w: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E30BBA" w:rsidRDefault="00A4653C">
      <w:pPr>
        <w:spacing w:line="594" w:lineRule="atLeast"/>
        <w:rPr>
          <w:rFonts w:ascii="Times New Roman" w:hAnsi="Times New Roman" w:hint="default"/>
          <w:sz w:val="21"/>
          <w:szCs w:val="21"/>
        </w:rPr>
      </w:pPr>
      <w:r>
        <w:rPr>
          <w:rFonts w:ascii="Times New Roman" w:hAnsi="Times New Roman" w:hint="default"/>
          <w:sz w:val="21"/>
          <w:szCs w:val="21"/>
        </w:rPr>
        <w:br w:type="page"/>
      </w:r>
    </w:p>
    <w:p w:rsidR="00E30BBA" w:rsidRDefault="00E30BBA">
      <w:pPr>
        <w:spacing w:line="594" w:lineRule="atLeast"/>
        <w:rPr>
          <w:rFonts w:ascii="Times New Roman" w:hAnsi="Times New Roman" w:hint="default"/>
          <w:sz w:val="21"/>
          <w:szCs w:val="21"/>
        </w:rPr>
      </w:pPr>
    </w:p>
    <w:tbl>
      <w:tblPr>
        <w:tblW w:w="4790" w:type="pct"/>
        <w:tblCellMar>
          <w:left w:w="0" w:type="dxa"/>
          <w:right w:w="0" w:type="dxa"/>
        </w:tblCellMar>
        <w:tblLook w:val="04A0"/>
      </w:tblPr>
      <w:tblGrid>
        <w:gridCol w:w="2708"/>
        <w:gridCol w:w="1388"/>
        <w:gridCol w:w="2900"/>
        <w:gridCol w:w="1545"/>
        <w:gridCol w:w="1545"/>
        <w:gridCol w:w="1545"/>
        <w:gridCol w:w="1759"/>
      </w:tblGrid>
      <w:tr w:rsidR="00E30BBA">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财政拨款收入支出决算总表</w:t>
            </w:r>
          </w:p>
        </w:tc>
      </w:tr>
      <w:tr w:rsidR="00E30BB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18"/>
                <w:szCs w:val="18"/>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重庆市忠县残疾人服务中心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04</w:t>
            </w:r>
            <w:r>
              <w:rPr>
                <w:rFonts w:ascii="Times New Roman" w:hAnsi="Times New Roman" w:hint="default"/>
                <w:color w:val="000000"/>
                <w:sz w:val="20"/>
                <w:szCs w:val="20"/>
              </w:rPr>
              <w:t>表</w:t>
            </w:r>
          </w:p>
        </w:tc>
      </w:tr>
      <w:tr w:rsidR="00E30BB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收</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支</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出</w:t>
            </w:r>
          </w:p>
        </w:tc>
      </w:tr>
      <w:tr w:rsidR="00E30BB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r>
      <w:tr w:rsidR="00E30BB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国有资本经营预算财政拨款</w:t>
            </w: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168.00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二十六、抗</w:t>
            </w:r>
            <w:proofErr w:type="gramStart"/>
            <w:r>
              <w:rPr>
                <w:rFonts w:ascii="Times New Roman" w:hAnsi="Times New Roman" w:hint="default"/>
                <w:color w:val="000000"/>
                <w:sz w:val="18"/>
                <w:szCs w:val="18"/>
              </w:rPr>
              <w:t>疫</w:t>
            </w:r>
            <w:proofErr w:type="gramEnd"/>
            <w:r>
              <w:rPr>
                <w:rFonts w:ascii="Times New Roman" w:hAnsi="Times New Roman" w:hint="default"/>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168.00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r>
      <w:tr w:rsidR="00E30B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lastRenderedPageBreak/>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168.00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bl>
    <w:p w:rsidR="00E30BBA" w:rsidRDefault="00A4653C">
      <w:pPr>
        <w:spacing w:line="594" w:lineRule="atLeas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本表反映单位本年度一般公共预算财政拨款、政府性基金预算财政拨款及国有资本经营预算财政拨款的总收支和年末结转结余情况。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5000" w:type="pct"/>
        <w:tblCellMar>
          <w:left w:w="0" w:type="dxa"/>
          <w:right w:w="0" w:type="dxa"/>
        </w:tblCellMar>
        <w:tblLook w:val="04A0"/>
      </w:tblPr>
      <w:tblGrid>
        <w:gridCol w:w="1687"/>
        <w:gridCol w:w="3230"/>
        <w:gridCol w:w="3015"/>
        <w:gridCol w:w="3015"/>
        <w:gridCol w:w="3030"/>
      </w:tblGrid>
      <w:tr w:rsidR="00E30BBA">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一般公共预算财政拨款支出决算表</w:t>
            </w:r>
          </w:p>
        </w:tc>
      </w:tr>
      <w:tr w:rsidR="00E30BBA">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重庆市忠县残疾人服务中心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05</w:t>
            </w:r>
            <w:r>
              <w:rPr>
                <w:rFonts w:ascii="Times New Roman" w:hAnsi="Times New Roman" w:hint="default"/>
                <w:color w:val="000000"/>
                <w:sz w:val="20"/>
                <w:szCs w:val="20"/>
              </w:rPr>
              <w:t>表</w:t>
            </w:r>
          </w:p>
        </w:tc>
      </w:tr>
      <w:tr w:rsidR="00E30BBA">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E30BBA">
        <w:trPr>
          <w:trHeight w:val="594"/>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E30BBA">
        <w:trPr>
          <w:trHeight w:val="594"/>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168.00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教育支出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20508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进修及培训</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2050803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培训支出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153.40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153.40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15.50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15.50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8.80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8.80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137.90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137.90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2081199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其他残疾人事业支出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137.90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137.90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5.60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r w:rsidR="00E30B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bl>
    <w:p w:rsidR="00E30BBA" w:rsidRDefault="00A4653C">
      <w:pPr>
        <w:spacing w:line="594" w:lineRule="atLeast"/>
        <w:rPr>
          <w:rFonts w:ascii="Times New Roman" w:hAnsi="Times New Roman" w:hint="default"/>
          <w:sz w:val="21"/>
          <w:szCs w:val="21"/>
        </w:rPr>
      </w:pPr>
      <w:r>
        <w:rPr>
          <w:rFonts w:ascii="Times New Roman" w:hAnsi="Times New Roman" w:hint="default"/>
          <w:sz w:val="20"/>
          <w:szCs w:val="20"/>
        </w:rPr>
        <w:lastRenderedPageBreak/>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本表反映单位本年度一般公共预算财政拨款支出情况。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E30BBA" w:rsidRDefault="00A4653C">
      <w:pPr>
        <w:spacing w:line="594" w:lineRule="atLeast"/>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4994" w:type="pct"/>
        <w:tblLayout w:type="fixed"/>
        <w:tblCellMar>
          <w:left w:w="0" w:type="dxa"/>
          <w:right w:w="0" w:type="dxa"/>
        </w:tblCellMar>
        <w:tblLook w:val="04A0"/>
      </w:tblPr>
      <w:tblGrid>
        <w:gridCol w:w="551"/>
        <w:gridCol w:w="2490"/>
        <w:gridCol w:w="1251"/>
        <w:gridCol w:w="759"/>
        <w:gridCol w:w="1748"/>
        <w:gridCol w:w="1505"/>
        <w:gridCol w:w="734"/>
        <w:gridCol w:w="3205"/>
        <w:gridCol w:w="1717"/>
      </w:tblGrid>
      <w:tr w:rsidR="00E30BBA">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一般公共预算财政拨款基本支出决算表</w:t>
            </w:r>
          </w:p>
        </w:tc>
      </w:tr>
      <w:tr w:rsidR="00E30BBA">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18"/>
                <w:szCs w:val="18"/>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重庆市忠县残疾人服务中心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06</w:t>
            </w:r>
            <w:r>
              <w:rPr>
                <w:rFonts w:ascii="Times New Roman" w:hAnsi="Times New Roman" w:hint="default"/>
                <w:color w:val="000000"/>
                <w:sz w:val="20"/>
                <w:szCs w:val="20"/>
              </w:rPr>
              <w:t>表</w:t>
            </w:r>
          </w:p>
        </w:tc>
      </w:tr>
      <w:tr w:rsidR="00E30BBA">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w:t>
            </w:r>
          </w:p>
        </w:tc>
      </w:tr>
      <w:tr w:rsidR="00E30BBA">
        <w:trPr>
          <w:trHeight w:val="594"/>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r>
      <w:tr w:rsidR="00E30BBA">
        <w:trPr>
          <w:trHeight w:val="594"/>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146.39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30.71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lastRenderedPageBreak/>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82.93</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8.80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4.13</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1.35</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6.78</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lastRenderedPageBreak/>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1.95</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其他商品和服务支</w:t>
            </w:r>
            <w:r>
              <w:rPr>
                <w:rFonts w:ascii="Times New Roman" w:hAnsi="Times New Roman" w:hint="default"/>
                <w:color w:val="000000"/>
                <w:sz w:val="18"/>
                <w:szCs w:val="18"/>
              </w:rPr>
              <w:lastRenderedPageBreak/>
              <w:t>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lastRenderedPageBreak/>
              <w:t>4.80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r>
      <w:tr w:rsidR="00E30B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color w:val="000000"/>
                <w:sz w:val="18"/>
                <w:szCs w:val="18"/>
              </w:rPr>
            </w:pPr>
          </w:p>
        </w:tc>
      </w:tr>
      <w:tr w:rsidR="00E30BBA">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0BBA" w:rsidRDefault="00A4653C">
            <w:pPr>
              <w:wordWrap w:val="0"/>
              <w:spacing w:line="594" w:lineRule="atLeas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149.16</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A4653C">
            <w:pPr>
              <w:wordWrap w:val="0"/>
              <w:spacing w:line="594" w:lineRule="atLeas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18.84</w:t>
            </w:r>
          </w:p>
        </w:tc>
      </w:tr>
    </w:tbl>
    <w:p w:rsidR="00E30BBA" w:rsidRDefault="00A4653C">
      <w:pPr>
        <w:spacing w:line="594" w:lineRule="atLeas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本表反映单位本年度一般公共预算财政拨款基本支出明细情况。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5000" w:type="pct"/>
        <w:tblCellMar>
          <w:left w:w="0" w:type="dxa"/>
          <w:right w:w="0" w:type="dxa"/>
        </w:tblCellMar>
        <w:tblLook w:val="04A0"/>
      </w:tblPr>
      <w:tblGrid>
        <w:gridCol w:w="1687"/>
        <w:gridCol w:w="2807"/>
        <w:gridCol w:w="1551"/>
        <w:gridCol w:w="1551"/>
        <w:gridCol w:w="1551"/>
        <w:gridCol w:w="1551"/>
        <w:gridCol w:w="1610"/>
        <w:gridCol w:w="1669"/>
      </w:tblGrid>
      <w:tr w:rsidR="00E30BBA">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政府性基金预算财政拨款收入支出决算表</w:t>
            </w:r>
          </w:p>
        </w:tc>
      </w:tr>
      <w:tr w:rsidR="00E30BBA">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重庆市忠县残疾人服务中心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07</w:t>
            </w:r>
            <w:r>
              <w:rPr>
                <w:rFonts w:ascii="Times New Roman" w:hAnsi="Times New Roman" w:hint="default"/>
                <w:color w:val="000000"/>
                <w:sz w:val="20"/>
                <w:szCs w:val="20"/>
              </w:rPr>
              <w:t>表</w:t>
            </w:r>
          </w:p>
        </w:tc>
      </w:tr>
      <w:tr w:rsidR="00E30BBA">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年末结转和结余</w:t>
            </w:r>
          </w:p>
        </w:tc>
      </w:tr>
      <w:tr w:rsidR="00E30BBA">
        <w:trPr>
          <w:trHeight w:val="594"/>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bl>
    <w:p w:rsidR="00E30BBA" w:rsidRDefault="00A4653C">
      <w:pPr>
        <w:spacing w:line="594" w:lineRule="atLeast"/>
        <w:rPr>
          <w:rFonts w:ascii="Times New Roman" w:hAnsi="Times New Roman" w:hint="default"/>
          <w:sz w:val="21"/>
          <w:szCs w:val="21"/>
        </w:rPr>
      </w:pPr>
      <w:r>
        <w:rPr>
          <w:rFonts w:ascii="Times New Roman" w:hAnsi="Times New Roman" w:hint="default"/>
          <w:sz w:val="20"/>
          <w:szCs w:val="20"/>
        </w:rPr>
        <w:t>备注：本表反映单位本年度政府性基金预算财政拨款收入支出及结转和结余情况。本单位无政府性基金收支，故本表无数据。</w:t>
      </w:r>
      <w:r>
        <w:rPr>
          <w:rFonts w:ascii="Times New Roman" w:hAnsi="Times New Roman" w:hint="default"/>
          <w:sz w:val="20"/>
          <w:szCs w:val="20"/>
        </w:rPr>
        <w:br/>
      </w:r>
      <w:r>
        <w:rPr>
          <w:rFonts w:ascii="Times New Roman" w:hAnsi="Times New Roman" w:hint="default"/>
          <w:sz w:val="20"/>
          <w:szCs w:val="20"/>
        </w:rPr>
        <w:br/>
      </w:r>
    </w:p>
    <w:p w:rsidR="00E30BBA" w:rsidRDefault="00A4653C">
      <w:pPr>
        <w:spacing w:line="594" w:lineRule="atLeast"/>
        <w:rPr>
          <w:rFonts w:ascii="Times New Roman" w:hAnsi="Times New Roman" w:hint="default"/>
          <w:sz w:val="21"/>
          <w:szCs w:val="21"/>
        </w:rPr>
      </w:pPr>
      <w:r>
        <w:rPr>
          <w:rFonts w:ascii="Times New Roman" w:hAnsi="Times New Roman" w:hint="default"/>
          <w:sz w:val="21"/>
          <w:szCs w:val="21"/>
        </w:rPr>
        <w:br w:type="page"/>
      </w:r>
    </w:p>
    <w:tbl>
      <w:tblPr>
        <w:tblW w:w="5000" w:type="pct"/>
        <w:tblCellMar>
          <w:left w:w="0" w:type="dxa"/>
          <w:right w:w="0" w:type="dxa"/>
        </w:tblCellMar>
        <w:tblLook w:val="04A0"/>
      </w:tblPr>
      <w:tblGrid>
        <w:gridCol w:w="1711"/>
        <w:gridCol w:w="2781"/>
        <w:gridCol w:w="2977"/>
        <w:gridCol w:w="182"/>
        <w:gridCol w:w="3159"/>
        <w:gridCol w:w="70"/>
        <w:gridCol w:w="3097"/>
      </w:tblGrid>
      <w:tr w:rsidR="00E30BBA">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国有资本经营预算财政拨款支出决算表</w:t>
            </w:r>
          </w:p>
        </w:tc>
      </w:tr>
      <w:tr w:rsidR="00E30BBA">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重庆市忠县残疾人服务中心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08</w:t>
            </w:r>
            <w:r>
              <w:rPr>
                <w:rFonts w:ascii="Times New Roman" w:hAnsi="Times New Roman" w:hint="default"/>
                <w:color w:val="000000"/>
                <w:sz w:val="20"/>
                <w:szCs w:val="20"/>
              </w:rPr>
              <w:t>表</w:t>
            </w:r>
          </w:p>
        </w:tc>
      </w:tr>
      <w:tr w:rsidR="00E30BBA">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E30BBA">
        <w:trPr>
          <w:trHeight w:val="594"/>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E30BBA">
        <w:trPr>
          <w:trHeight w:val="594"/>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594"/>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E30BBA" w:rsidRDefault="00E30BBA">
            <w:pPr>
              <w:spacing w:line="594" w:lineRule="atLeast"/>
              <w:jc w:val="center"/>
              <w:rPr>
                <w:rFonts w:ascii="Times New Roman" w:hAnsi="Times New Roman" w:hint="default"/>
                <w:b/>
                <w:color w:val="000000"/>
                <w:sz w:val="20"/>
                <w:szCs w:val="20"/>
              </w:rPr>
            </w:pPr>
          </w:p>
        </w:tc>
      </w:tr>
      <w:tr w:rsidR="00E30BBA">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spacing w:line="594" w:lineRule="atLeast"/>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0BBA" w:rsidRDefault="00E30BBA">
            <w:pPr>
              <w:wordWrap w:val="0"/>
              <w:spacing w:line="594" w:lineRule="atLeast"/>
              <w:jc w:val="right"/>
              <w:textAlignment w:val="center"/>
              <w:rPr>
                <w:rFonts w:ascii="Times New Roman" w:hAnsi="Times New Roman" w:hint="default"/>
                <w:b/>
                <w:color w:val="000000"/>
                <w:sz w:val="20"/>
                <w:szCs w:val="20"/>
              </w:rPr>
            </w:pPr>
          </w:p>
        </w:tc>
      </w:tr>
    </w:tbl>
    <w:p w:rsidR="00E30BBA" w:rsidRDefault="00A4653C">
      <w:pPr>
        <w:spacing w:line="594" w:lineRule="atLeast"/>
        <w:rPr>
          <w:rFonts w:ascii="Times New Roman" w:hAnsi="Times New Roman" w:hint="default"/>
          <w:sz w:val="21"/>
          <w:szCs w:val="21"/>
        </w:rPr>
      </w:pPr>
      <w:r>
        <w:rPr>
          <w:rFonts w:ascii="Times New Roman" w:hAnsi="Times New Roman" w:hint="default"/>
          <w:sz w:val="20"/>
          <w:szCs w:val="20"/>
        </w:rPr>
        <w:t>备注：本表反映单位本年度国有资本经营预算财政拨款支出情况。本单位无国有资本经营收支，故本表无数据。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4877" w:type="pct"/>
        <w:tblLayout w:type="fixed"/>
        <w:tblCellMar>
          <w:left w:w="170" w:type="dxa"/>
          <w:right w:w="170" w:type="dxa"/>
        </w:tblCellMar>
        <w:tblLook w:val="04A0"/>
      </w:tblPr>
      <w:tblGrid>
        <w:gridCol w:w="3672"/>
        <w:gridCol w:w="1969"/>
        <w:gridCol w:w="1922"/>
        <w:gridCol w:w="4112"/>
        <w:gridCol w:w="1958"/>
      </w:tblGrid>
      <w:tr w:rsidR="00E30BBA">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机构运行信息表</w:t>
            </w:r>
          </w:p>
        </w:tc>
      </w:tr>
      <w:tr w:rsidR="00E30BBA">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jc w:val="center"/>
              <w:rPr>
                <w:rFonts w:ascii="Times New Roman" w:hAnsi="Times New Roman"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09</w:t>
            </w:r>
            <w:r>
              <w:rPr>
                <w:rFonts w:ascii="Times New Roman" w:hAnsi="Times New Roman" w:hint="default"/>
                <w:color w:val="000000"/>
                <w:sz w:val="20"/>
                <w:szCs w:val="20"/>
              </w:rPr>
              <w:t>表</w:t>
            </w:r>
          </w:p>
        </w:tc>
      </w:tr>
      <w:tr w:rsidR="00E30BBA">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E30BBA" w:rsidRDefault="00A4653C">
            <w:pPr>
              <w:spacing w:line="594" w:lineRule="atLeast"/>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重庆市忠县残疾人服务中心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E30BBA" w:rsidRDefault="00E30BBA">
            <w:pPr>
              <w:spacing w:line="594" w:lineRule="atLeast"/>
              <w:rPr>
                <w:rFonts w:ascii="Times New Roman" w:hAnsi="Times New Roman"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E30BBA">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项</w:t>
            </w:r>
            <w:r>
              <w:rPr>
                <w:rFonts w:ascii="Times New Roman" w:hAnsi="Times New Roman" w:hint="default"/>
                <w:b/>
                <w:color w:val="000000"/>
                <w:sz w:val="16"/>
                <w:szCs w:val="16"/>
              </w:rPr>
              <w:t xml:space="preserve">  </w:t>
            </w:r>
            <w:r>
              <w:rPr>
                <w:rFonts w:ascii="Times New Roman" w:hAnsi="Times New Roman" w:hint="default"/>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项</w:t>
            </w:r>
            <w:r>
              <w:rPr>
                <w:rFonts w:ascii="Times New Roman" w:hAnsi="Times New Roman" w:hint="default"/>
                <w:b/>
                <w:color w:val="000000"/>
                <w:sz w:val="16"/>
                <w:szCs w:val="16"/>
              </w:rPr>
              <w:t xml:space="preserve">  </w:t>
            </w:r>
            <w:r>
              <w:rPr>
                <w:rFonts w:ascii="Times New Roman" w:hAnsi="Times New Roman" w:hint="default"/>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决算数</w:t>
            </w:r>
          </w:p>
        </w:tc>
      </w:tr>
      <w:tr w:rsidR="00E30BBA">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一、</w:t>
            </w:r>
            <w:r>
              <w:rPr>
                <w:rFonts w:ascii="Times New Roman" w:hAnsi="Times New Roman" w:hint="default"/>
                <w:color w:val="000000"/>
                <w:sz w:val="16"/>
                <w:szCs w:val="16"/>
              </w:rPr>
              <w:t>“</w:t>
            </w:r>
            <w:r>
              <w:rPr>
                <w:rFonts w:ascii="Times New Roman" w:hAnsi="Times New Roman" w:hint="default"/>
                <w:color w:val="000000"/>
                <w:sz w:val="16"/>
                <w:szCs w:val="16"/>
              </w:rPr>
              <w:t>三公</w:t>
            </w:r>
            <w:r>
              <w:rPr>
                <w:rFonts w:ascii="Times New Roman" w:hAnsi="Times New Roman" w:hint="default"/>
                <w:color w:val="000000"/>
                <w:sz w:val="16"/>
                <w:szCs w:val="16"/>
              </w:rPr>
              <w:t>”</w:t>
            </w:r>
            <w:r>
              <w:rPr>
                <w:rFonts w:ascii="Times New Roman" w:hAnsi="Times New Roman" w:hint="default"/>
                <w:color w:val="000000"/>
                <w:sz w:val="16"/>
                <w:szCs w:val="16"/>
              </w:rPr>
              <w:t>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1</w:t>
            </w:r>
            <w:r>
              <w:rPr>
                <w:rFonts w:ascii="Times New Roman" w:hAnsi="Times New Roman" w:hint="default"/>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2</w:t>
            </w:r>
            <w:r>
              <w:rPr>
                <w:rFonts w:ascii="Times New Roman" w:hAnsi="Times New Roman" w:hint="default"/>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w:t>
            </w:r>
            <w:r>
              <w:rPr>
                <w:rFonts w:ascii="Times New Roman" w:hAnsi="Times New Roman" w:hint="default"/>
                <w:color w:val="000000"/>
                <w:sz w:val="16"/>
                <w:szCs w:val="16"/>
              </w:rPr>
              <w:t>1</w:t>
            </w:r>
            <w:r>
              <w:rPr>
                <w:rFonts w:ascii="Times New Roman" w:hAnsi="Times New Roman" w:hint="default"/>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w:t>
            </w:r>
            <w:r>
              <w:rPr>
                <w:rFonts w:ascii="Times New Roman" w:hAnsi="Times New Roman" w:hint="default"/>
                <w:color w:val="000000"/>
                <w:sz w:val="16"/>
                <w:szCs w:val="16"/>
              </w:rPr>
              <w:t>2</w:t>
            </w:r>
            <w:r>
              <w:rPr>
                <w:rFonts w:ascii="Times New Roman" w:hAnsi="Times New Roman" w:hint="default"/>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1</w:t>
            </w:r>
            <w:r>
              <w:rPr>
                <w:rFonts w:ascii="Times New Roman" w:hAnsi="Times New Roman" w:hint="default"/>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3</w:t>
            </w:r>
            <w:r>
              <w:rPr>
                <w:rFonts w:ascii="Times New Roman" w:hAnsi="Times New Roman" w:hint="default"/>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2</w:t>
            </w:r>
            <w:r>
              <w:rPr>
                <w:rFonts w:ascii="Times New Roman" w:hAnsi="Times New Roman" w:hint="default"/>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w:t>
            </w:r>
            <w:r>
              <w:rPr>
                <w:rFonts w:ascii="Times New Roman" w:hAnsi="Times New Roman" w:hint="default"/>
                <w:color w:val="000000"/>
                <w:sz w:val="16"/>
                <w:szCs w:val="16"/>
              </w:rPr>
              <w:t>1</w:t>
            </w:r>
            <w:r>
              <w:rPr>
                <w:rFonts w:ascii="Times New Roman" w:hAnsi="Times New Roman" w:hint="default"/>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3</w:t>
            </w:r>
            <w:r>
              <w:rPr>
                <w:rFonts w:ascii="Times New Roman" w:hAnsi="Times New Roman" w:hint="default"/>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4</w:t>
            </w:r>
            <w:r>
              <w:rPr>
                <w:rFonts w:ascii="Times New Roman" w:hAnsi="Times New Roman" w:hint="default"/>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lastRenderedPageBreak/>
              <w:t xml:space="preserve">      </w:t>
            </w:r>
            <w:r>
              <w:rPr>
                <w:rFonts w:ascii="Times New Roman" w:hAnsi="Times New Roman" w:hint="default"/>
                <w:color w:val="000000"/>
                <w:sz w:val="16"/>
                <w:szCs w:val="16"/>
              </w:rPr>
              <w:t>（</w:t>
            </w:r>
            <w:r>
              <w:rPr>
                <w:rFonts w:ascii="Times New Roman" w:hAnsi="Times New Roman" w:hint="default"/>
                <w:color w:val="000000"/>
                <w:sz w:val="16"/>
                <w:szCs w:val="16"/>
              </w:rPr>
              <w:t>2</w:t>
            </w:r>
            <w:r>
              <w:rPr>
                <w:rFonts w:ascii="Times New Roman" w:hAnsi="Times New Roman" w:hint="default"/>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5</w:t>
            </w:r>
            <w:r>
              <w:rPr>
                <w:rFonts w:ascii="Times New Roman" w:hAnsi="Times New Roman" w:hint="default"/>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6</w:t>
            </w:r>
            <w:r>
              <w:rPr>
                <w:rFonts w:ascii="Times New Roman" w:hAnsi="Times New Roman" w:hint="default"/>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1</w:t>
            </w:r>
            <w:r>
              <w:rPr>
                <w:rFonts w:ascii="Times New Roman" w:hAnsi="Times New Roman" w:hint="default"/>
                <w:color w:val="000000"/>
                <w:sz w:val="16"/>
                <w:szCs w:val="16"/>
              </w:rPr>
              <w:t>．因公出国（境）团组数（</w:t>
            </w:r>
            <w:proofErr w:type="gramStart"/>
            <w:r>
              <w:rPr>
                <w:rFonts w:ascii="Times New Roman" w:hAnsi="Times New Roman" w:hint="default"/>
                <w:color w:val="000000"/>
                <w:sz w:val="16"/>
                <w:szCs w:val="16"/>
              </w:rPr>
              <w:t>个</w:t>
            </w:r>
            <w:proofErr w:type="gramEnd"/>
            <w:r>
              <w:rPr>
                <w:rFonts w:ascii="Times New Roman" w:hAnsi="Times New Roman" w:hint="default"/>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7</w:t>
            </w:r>
            <w:r>
              <w:rPr>
                <w:rFonts w:ascii="Times New Roman" w:hAnsi="Times New Roman" w:hint="default"/>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2</w:t>
            </w:r>
            <w:r>
              <w:rPr>
                <w:rFonts w:ascii="Times New Roman" w:hAnsi="Times New Roman" w:hint="default"/>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8</w:t>
            </w:r>
            <w:r>
              <w:rPr>
                <w:rFonts w:ascii="Times New Roman" w:hAnsi="Times New Roman" w:hint="default"/>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3</w:t>
            </w:r>
            <w:r>
              <w:rPr>
                <w:rFonts w:ascii="Times New Roman" w:hAnsi="Times New Roman" w:hint="default"/>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（二）单价</w:t>
            </w:r>
            <w:r>
              <w:rPr>
                <w:rFonts w:ascii="Times New Roman" w:hAnsi="Times New Roman" w:hint="default"/>
                <w:color w:val="000000"/>
                <w:sz w:val="16"/>
                <w:szCs w:val="16"/>
              </w:rPr>
              <w:t>100</w:t>
            </w:r>
            <w:r>
              <w:rPr>
                <w:rFonts w:ascii="Times New Roman" w:hAnsi="Times New Roman" w:hint="default"/>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4</w:t>
            </w:r>
            <w:r>
              <w:rPr>
                <w:rFonts w:ascii="Times New Roman" w:hAnsi="Times New Roman" w:hint="default"/>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5</w:t>
            </w:r>
            <w:r>
              <w:rPr>
                <w:rFonts w:ascii="Times New Roman" w:hAnsi="Times New Roman" w:hint="default"/>
                <w:color w:val="000000"/>
                <w:sz w:val="16"/>
                <w:szCs w:val="16"/>
              </w:rPr>
              <w:t>．国内公务接待批次（</w:t>
            </w:r>
            <w:proofErr w:type="gramStart"/>
            <w:r>
              <w:rPr>
                <w:rFonts w:ascii="Times New Roman" w:hAnsi="Times New Roman" w:hint="default"/>
                <w:color w:val="000000"/>
                <w:sz w:val="16"/>
                <w:szCs w:val="16"/>
              </w:rPr>
              <w:t>个</w:t>
            </w:r>
            <w:proofErr w:type="gramEnd"/>
            <w:r>
              <w:rPr>
                <w:rFonts w:ascii="Times New Roman" w:hAnsi="Times New Roman" w:hint="default"/>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其中：外事接待批次（</w:t>
            </w:r>
            <w:proofErr w:type="gramStart"/>
            <w:r>
              <w:rPr>
                <w:rFonts w:ascii="Times New Roman" w:hAnsi="Times New Roman" w:hint="default"/>
                <w:color w:val="000000"/>
                <w:sz w:val="16"/>
                <w:szCs w:val="16"/>
              </w:rPr>
              <w:t>个</w:t>
            </w:r>
            <w:proofErr w:type="gramEnd"/>
            <w:r>
              <w:rPr>
                <w:rFonts w:ascii="Times New Roman" w:hAnsi="Times New Roman" w:hint="default"/>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1</w:t>
            </w:r>
            <w:r>
              <w:rPr>
                <w:rFonts w:ascii="Times New Roman" w:hAnsi="Times New Roman" w:hint="default"/>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6</w:t>
            </w:r>
            <w:r>
              <w:rPr>
                <w:rFonts w:ascii="Times New Roman" w:hAnsi="Times New Roman" w:hint="default"/>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2</w:t>
            </w:r>
            <w:r>
              <w:rPr>
                <w:rFonts w:ascii="Times New Roman" w:hAnsi="Times New Roman" w:hint="default"/>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3</w:t>
            </w:r>
            <w:r>
              <w:rPr>
                <w:rFonts w:ascii="Times New Roman" w:hAnsi="Times New Roman" w:hint="default"/>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7</w:t>
            </w:r>
            <w:r>
              <w:rPr>
                <w:rFonts w:ascii="Times New Roman" w:hAnsi="Times New Roman" w:hint="default"/>
                <w:color w:val="000000"/>
                <w:sz w:val="16"/>
                <w:szCs w:val="16"/>
              </w:rPr>
              <w:t>．国（境）外公务接待批次（</w:t>
            </w:r>
            <w:proofErr w:type="gramStart"/>
            <w:r>
              <w:rPr>
                <w:rFonts w:ascii="Times New Roman" w:hAnsi="Times New Roman" w:hint="default"/>
                <w:color w:val="000000"/>
                <w:sz w:val="16"/>
                <w:szCs w:val="16"/>
              </w:rPr>
              <w:t>个</w:t>
            </w:r>
            <w:proofErr w:type="gramEnd"/>
            <w:r>
              <w:rPr>
                <w:rFonts w:ascii="Times New Roman" w:hAnsi="Times New Roman" w:hint="default"/>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8</w:t>
            </w:r>
            <w:r>
              <w:rPr>
                <w:rFonts w:ascii="Times New Roman" w:hAnsi="Times New Roman" w:hint="default"/>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其中：授予小</w:t>
            </w:r>
            <w:proofErr w:type="gramStart"/>
            <w:r>
              <w:rPr>
                <w:rFonts w:ascii="Times New Roman" w:hAnsi="Times New Roman" w:hint="default"/>
                <w:color w:val="000000"/>
                <w:sz w:val="16"/>
                <w:szCs w:val="16"/>
              </w:rPr>
              <w:t>微企业</w:t>
            </w:r>
            <w:proofErr w:type="gramEnd"/>
            <w:r>
              <w:rPr>
                <w:rFonts w:ascii="Times New Roman" w:hAnsi="Times New Roman" w:hint="default"/>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r>
      <w:tr w:rsidR="00E30BBA">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textAlignment w:val="bottom"/>
              <w:rPr>
                <w:rFonts w:ascii="Times New Roman" w:hAnsi="Times New Roman"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16"/>
                <w:szCs w:val="16"/>
              </w:rPr>
            </w:pPr>
          </w:p>
        </w:tc>
      </w:tr>
      <w:tr w:rsidR="00E30BBA">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A4653C">
            <w:pPr>
              <w:spacing w:line="594" w:lineRule="atLeast"/>
              <w:textAlignment w:val="center"/>
              <w:rPr>
                <w:rFonts w:ascii="Times New Roman" w:hAnsi="Times New Roman" w:hint="default"/>
                <w:color w:val="000000"/>
                <w:sz w:val="16"/>
                <w:szCs w:val="16"/>
              </w:rPr>
            </w:pPr>
            <w:r>
              <w:rPr>
                <w:rFonts w:ascii="Times New Roman" w:hAnsi="Times New Roman" w:hint="default"/>
                <w:color w:val="000000"/>
                <w:sz w:val="16"/>
                <w:szCs w:val="16"/>
              </w:rPr>
              <w:lastRenderedPageBreak/>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0BBA" w:rsidRDefault="00A4653C">
            <w:pPr>
              <w:spacing w:line="594" w:lineRule="atLeas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A4653C">
            <w:pPr>
              <w:spacing w:line="594" w:lineRule="atLeas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0.74</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E30BBA" w:rsidRDefault="00E30BBA">
            <w:pPr>
              <w:spacing w:line="594" w:lineRule="atLeast"/>
              <w:rPr>
                <w:rFonts w:ascii="Times New Roman" w:hAnsi="Times New Roman"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0BBA" w:rsidRDefault="00E30BBA">
            <w:pPr>
              <w:spacing w:line="594" w:lineRule="atLeast"/>
              <w:jc w:val="right"/>
              <w:rPr>
                <w:rFonts w:ascii="Times New Roman" w:hAnsi="Times New Roman" w:hint="default"/>
                <w:color w:val="000000"/>
                <w:sz w:val="16"/>
                <w:szCs w:val="16"/>
              </w:rPr>
            </w:pPr>
          </w:p>
        </w:tc>
      </w:tr>
    </w:tbl>
    <w:p w:rsidR="00E30BBA" w:rsidRDefault="00A4653C">
      <w:pPr>
        <w:spacing w:line="594" w:lineRule="atLeast"/>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本表反映单位本年度财政拨款</w:t>
      </w:r>
      <w:r>
        <w:rPr>
          <w:rFonts w:ascii="Times New Roman" w:hAnsi="Times New Roman" w:hint="default"/>
          <w:sz w:val="20"/>
          <w:szCs w:val="20"/>
        </w:rPr>
        <w:t>“</w:t>
      </w:r>
      <w:r>
        <w:rPr>
          <w:rFonts w:ascii="Times New Roman" w:hAnsi="Times New Roman" w:hint="default"/>
          <w:sz w:val="20"/>
          <w:szCs w:val="20"/>
        </w:rPr>
        <w:t>三公</w:t>
      </w:r>
      <w:r>
        <w:rPr>
          <w:rFonts w:ascii="Times New Roman" w:hAnsi="Times New Roman" w:hint="default"/>
          <w:sz w:val="20"/>
          <w:szCs w:val="20"/>
        </w:rPr>
        <w:t>”</w:t>
      </w:r>
      <w:r>
        <w:rPr>
          <w:rFonts w:ascii="Times New Roman" w:hAnsi="Times New Roman" w:hint="default"/>
          <w:sz w:val="20"/>
          <w:szCs w:val="20"/>
        </w:rPr>
        <w:t>经费支出预决算情况。其中，预算数为</w:t>
      </w:r>
      <w:r>
        <w:rPr>
          <w:rFonts w:ascii="Times New Roman" w:hAnsi="Times New Roman" w:hint="default"/>
          <w:sz w:val="20"/>
          <w:szCs w:val="20"/>
        </w:rPr>
        <w:t>“</w:t>
      </w:r>
      <w:r>
        <w:rPr>
          <w:rFonts w:ascii="Times New Roman" w:hAnsi="Times New Roman" w:hint="default"/>
          <w:sz w:val="20"/>
          <w:szCs w:val="20"/>
        </w:rPr>
        <w:t>三公</w:t>
      </w:r>
      <w:r>
        <w:rPr>
          <w:rFonts w:ascii="Times New Roman" w:hAnsi="Times New Roman" w:hint="default"/>
          <w:sz w:val="20"/>
          <w:szCs w:val="20"/>
        </w:rPr>
        <w:t>”</w:t>
      </w:r>
      <w:r>
        <w:rPr>
          <w:rFonts w:ascii="Times New Roman" w:hAnsi="Times New Roman" w:hint="default"/>
          <w:sz w:val="20"/>
          <w:szCs w:val="20"/>
        </w:rPr>
        <w:t>经费全年预算数，反映按规定程序调整后的预算数；决算数为包括本年度财政拨款和以前年度结转资金安排的实际支出。</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sectPr w:rsidR="00E30BBA" w:rsidSect="00E30BBA">
      <w:headerReference w:type="default" r:id="rId14"/>
      <w:footerReference w:type="default" r:id="rId15"/>
      <w:pgSz w:w="16839" w:h="11907" w:orient="landscape"/>
      <w:pgMar w:top="1984" w:right="1446" w:bottom="1644" w:left="1446"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BBA" w:rsidRDefault="00E30BBA" w:rsidP="00E30BBA">
      <w:r>
        <w:separator/>
      </w:r>
    </w:p>
  </w:endnote>
  <w:endnote w:type="continuationSeparator" w:id="1">
    <w:p w:rsidR="00E30BBA" w:rsidRDefault="00E30BBA" w:rsidP="00E30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10" w:rsidRDefault="00987E10">
    <w:pPr>
      <w:pStyle w:val="a4"/>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BA" w:rsidRDefault="00E30BBA">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30BBA" w:rsidRDefault="00E30BBA">
                <w:pPr>
                  <w:pStyle w:val="a4"/>
                  <w:rPr>
                    <w:rFonts w:hint="default"/>
                  </w:rPr>
                </w:pPr>
                <w:r>
                  <w:fldChar w:fldCharType="begin"/>
                </w:r>
                <w:r w:rsidR="00A4653C">
                  <w:instrText xml:space="preserve"> PAGE  \* MERGEFORMAT </w:instrText>
                </w:r>
                <w:r>
                  <w:fldChar w:fldCharType="separate"/>
                </w:r>
                <w:r w:rsidR="00B077C4">
                  <w:rPr>
                    <w:rFonts w:hint="default"/>
                    <w:noProof/>
                  </w:rPr>
                  <w:t>- 6 -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10" w:rsidRDefault="00987E10">
    <w:pPr>
      <w:pStyle w:val="a4"/>
      <w:rPr>
        <w:rFonts w:hint="defau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BA" w:rsidRDefault="00E30BBA">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E30BBA" w:rsidRDefault="00E30BBA">
                <w:pPr>
                  <w:pStyle w:val="a4"/>
                  <w:rPr>
                    <w:rFonts w:hint="default"/>
                  </w:rPr>
                </w:pPr>
                <w:r>
                  <w:fldChar w:fldCharType="begin"/>
                </w:r>
                <w:r w:rsidR="00A4653C">
                  <w:instrText>PAGE   \* MERGEFORMAT</w:instrText>
                </w:r>
                <w:r>
                  <w:fldChar w:fldCharType="separate"/>
                </w:r>
                <w:r w:rsidR="00263AE0" w:rsidRPr="00263AE0">
                  <w:rPr>
                    <w:rFonts w:hint="default"/>
                    <w:noProof/>
                    <w:lang w:val="zh-CN"/>
                  </w:rPr>
                  <w:t>-</w:t>
                </w:r>
                <w:r w:rsidR="00263AE0">
                  <w:rPr>
                    <w:rFonts w:hint="default"/>
                    <w:noProof/>
                  </w:rPr>
                  <w:t xml:space="preserve"> 35 -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E30BBA" w:rsidRDefault="00A4653C">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BBA" w:rsidRDefault="00E30BBA" w:rsidP="00E30BBA">
      <w:r>
        <w:separator/>
      </w:r>
    </w:p>
  </w:footnote>
  <w:footnote w:type="continuationSeparator" w:id="1">
    <w:p w:rsidR="00E30BBA" w:rsidRDefault="00E30BBA" w:rsidP="00E30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10" w:rsidRDefault="00987E10">
    <w:pPr>
      <w:pStyle w:val="a5"/>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10" w:rsidRDefault="00987E10" w:rsidP="00987E10">
    <w:pPr>
      <w:pStyle w:val="a5"/>
      <w:rPr>
        <w:rFonts w:hint="defau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10" w:rsidRDefault="00987E10">
    <w:pPr>
      <w:pStyle w:val="a5"/>
      <w:rPr>
        <w:rFonts w:hint="defaul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BA" w:rsidRDefault="00E30BBA">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ZlOGQ3YmFmYjcyOTllN2YyYTYyODE5YmUzYWUwOWQifQ=="/>
  </w:docVars>
  <w:rsids>
    <w:rsidRoot w:val="00B03CCD"/>
    <w:rsid w:val="000239C6"/>
    <w:rsid w:val="001D3BB7"/>
    <w:rsid w:val="00263AE0"/>
    <w:rsid w:val="002B254B"/>
    <w:rsid w:val="00466C9B"/>
    <w:rsid w:val="00550ABE"/>
    <w:rsid w:val="00770383"/>
    <w:rsid w:val="007819D4"/>
    <w:rsid w:val="007B419D"/>
    <w:rsid w:val="007B7C4B"/>
    <w:rsid w:val="007D3D39"/>
    <w:rsid w:val="00987E10"/>
    <w:rsid w:val="00994AF7"/>
    <w:rsid w:val="009B67B8"/>
    <w:rsid w:val="009D2B67"/>
    <w:rsid w:val="00A4653C"/>
    <w:rsid w:val="00A566F9"/>
    <w:rsid w:val="00AC6196"/>
    <w:rsid w:val="00AF2751"/>
    <w:rsid w:val="00B03CCD"/>
    <w:rsid w:val="00B077C4"/>
    <w:rsid w:val="00BE2B89"/>
    <w:rsid w:val="00C10E9E"/>
    <w:rsid w:val="00C20C3E"/>
    <w:rsid w:val="00CF2ACF"/>
    <w:rsid w:val="00E30BBA"/>
    <w:rsid w:val="00F73F90"/>
    <w:rsid w:val="00FB4B3B"/>
    <w:rsid w:val="00FB540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F63AFE"/>
    <w:rsid w:val="0A3317EA"/>
    <w:rsid w:val="0A5C4B69"/>
    <w:rsid w:val="0A86124A"/>
    <w:rsid w:val="0AB54CC0"/>
    <w:rsid w:val="0B9335CE"/>
    <w:rsid w:val="0BF2311A"/>
    <w:rsid w:val="0C7927C4"/>
    <w:rsid w:val="0C9B098C"/>
    <w:rsid w:val="0D103128"/>
    <w:rsid w:val="0D673E11"/>
    <w:rsid w:val="0DDA54E4"/>
    <w:rsid w:val="0E3A5F83"/>
    <w:rsid w:val="0ED20405"/>
    <w:rsid w:val="0F836721"/>
    <w:rsid w:val="0FA25D96"/>
    <w:rsid w:val="107B59E5"/>
    <w:rsid w:val="10EC0126"/>
    <w:rsid w:val="10F70B9A"/>
    <w:rsid w:val="111445C7"/>
    <w:rsid w:val="113F222E"/>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E458DD"/>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E6319B"/>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BF6305"/>
    <w:rsid w:val="2FCA4B37"/>
    <w:rsid w:val="2FE029D7"/>
    <w:rsid w:val="2FF06E00"/>
    <w:rsid w:val="30586FEC"/>
    <w:rsid w:val="315F0B22"/>
    <w:rsid w:val="318C4BC4"/>
    <w:rsid w:val="31D84415"/>
    <w:rsid w:val="32285F6F"/>
    <w:rsid w:val="32770556"/>
    <w:rsid w:val="329C0913"/>
    <w:rsid w:val="32AA0460"/>
    <w:rsid w:val="3337290D"/>
    <w:rsid w:val="33E31118"/>
    <w:rsid w:val="33EF7674"/>
    <w:rsid w:val="342D7BC6"/>
    <w:rsid w:val="351941FF"/>
    <w:rsid w:val="352930DB"/>
    <w:rsid w:val="35573069"/>
    <w:rsid w:val="355F6038"/>
    <w:rsid w:val="358C217E"/>
    <w:rsid w:val="36C9128A"/>
    <w:rsid w:val="37090F97"/>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7D7AB7"/>
    <w:rsid w:val="3DDF3AB1"/>
    <w:rsid w:val="3E1D0952"/>
    <w:rsid w:val="3E42660A"/>
    <w:rsid w:val="3E7555B1"/>
    <w:rsid w:val="3E787ED9"/>
    <w:rsid w:val="3F032E93"/>
    <w:rsid w:val="3F0527E5"/>
    <w:rsid w:val="3F694D83"/>
    <w:rsid w:val="3F695775"/>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0701BD"/>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DF37CE"/>
    <w:rsid w:val="4F0C6BA3"/>
    <w:rsid w:val="4F186D58"/>
    <w:rsid w:val="50F06B6E"/>
    <w:rsid w:val="51D21804"/>
    <w:rsid w:val="52075749"/>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871960"/>
    <w:rsid w:val="5CF66BF3"/>
    <w:rsid w:val="5D290C69"/>
    <w:rsid w:val="5E8819C0"/>
    <w:rsid w:val="5F2D4A41"/>
    <w:rsid w:val="60C74F6C"/>
    <w:rsid w:val="61025A59"/>
    <w:rsid w:val="613D5BBC"/>
    <w:rsid w:val="61536C39"/>
    <w:rsid w:val="62944DD7"/>
    <w:rsid w:val="6319381F"/>
    <w:rsid w:val="63C25DC5"/>
    <w:rsid w:val="63C62057"/>
    <w:rsid w:val="643B7C00"/>
    <w:rsid w:val="64571EF5"/>
    <w:rsid w:val="64FB113D"/>
    <w:rsid w:val="656152C6"/>
    <w:rsid w:val="6587477F"/>
    <w:rsid w:val="658C3A08"/>
    <w:rsid w:val="65C031CA"/>
    <w:rsid w:val="65CE6852"/>
    <w:rsid w:val="65D73958"/>
    <w:rsid w:val="66267C04"/>
    <w:rsid w:val="663F505A"/>
    <w:rsid w:val="66EE5541"/>
    <w:rsid w:val="67924660"/>
    <w:rsid w:val="68407834"/>
    <w:rsid w:val="6883293E"/>
    <w:rsid w:val="688412AD"/>
    <w:rsid w:val="68EB1B71"/>
    <w:rsid w:val="6A286B21"/>
    <w:rsid w:val="6A6C7940"/>
    <w:rsid w:val="6AAD2300"/>
    <w:rsid w:val="6B474EF5"/>
    <w:rsid w:val="6C0A5AC5"/>
    <w:rsid w:val="6C560CAE"/>
    <w:rsid w:val="6C576495"/>
    <w:rsid w:val="6D903FF5"/>
    <w:rsid w:val="6DA955B8"/>
    <w:rsid w:val="6DE346AB"/>
    <w:rsid w:val="6DE5391A"/>
    <w:rsid w:val="6EFD1324"/>
    <w:rsid w:val="6F5A53AC"/>
    <w:rsid w:val="6FAC003D"/>
    <w:rsid w:val="6FB76B53"/>
    <w:rsid w:val="6FE55E12"/>
    <w:rsid w:val="6FFB2E76"/>
    <w:rsid w:val="708F6F7F"/>
    <w:rsid w:val="70D94BD3"/>
    <w:rsid w:val="71C34D91"/>
    <w:rsid w:val="72DB435C"/>
    <w:rsid w:val="72E2613A"/>
    <w:rsid w:val="72F524E3"/>
    <w:rsid w:val="72F771F4"/>
    <w:rsid w:val="73934AD2"/>
    <w:rsid w:val="750837F0"/>
    <w:rsid w:val="754758CF"/>
    <w:rsid w:val="764F62AB"/>
    <w:rsid w:val="765C45EC"/>
    <w:rsid w:val="768A7619"/>
    <w:rsid w:val="772E1EBA"/>
    <w:rsid w:val="77B96B73"/>
    <w:rsid w:val="781926BC"/>
    <w:rsid w:val="78770683"/>
    <w:rsid w:val="796D60A4"/>
    <w:rsid w:val="79A031D5"/>
    <w:rsid w:val="7A1525F7"/>
    <w:rsid w:val="7B420052"/>
    <w:rsid w:val="7BD06A28"/>
    <w:rsid w:val="7C3A7C0B"/>
    <w:rsid w:val="7C5248E4"/>
    <w:rsid w:val="7C557640"/>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E30BBA"/>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30BBA"/>
    <w:rPr>
      <w:sz w:val="18"/>
      <w:szCs w:val="18"/>
    </w:rPr>
  </w:style>
  <w:style w:type="paragraph" w:styleId="a4">
    <w:name w:val="footer"/>
    <w:basedOn w:val="a"/>
    <w:qFormat/>
    <w:rsid w:val="00E30BBA"/>
    <w:pPr>
      <w:tabs>
        <w:tab w:val="center" w:pos="4153"/>
        <w:tab w:val="right" w:pos="8306"/>
      </w:tabs>
      <w:snapToGrid w:val="0"/>
    </w:pPr>
    <w:rPr>
      <w:sz w:val="18"/>
      <w:szCs w:val="18"/>
    </w:rPr>
  </w:style>
  <w:style w:type="paragraph" w:styleId="a5">
    <w:name w:val="header"/>
    <w:basedOn w:val="a"/>
    <w:qFormat/>
    <w:rsid w:val="00E30BBA"/>
    <w:pPr>
      <w:tabs>
        <w:tab w:val="center" w:pos="4153"/>
        <w:tab w:val="right" w:pos="8306"/>
      </w:tabs>
      <w:snapToGrid w:val="0"/>
      <w:jc w:val="center"/>
    </w:pPr>
    <w:rPr>
      <w:sz w:val="18"/>
      <w:szCs w:val="18"/>
    </w:rPr>
  </w:style>
  <w:style w:type="paragraph" w:styleId="HTML">
    <w:name w:val="HTML Preformatted"/>
    <w:basedOn w:val="a"/>
    <w:qFormat/>
    <w:rsid w:val="00E30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E30BBA"/>
    <w:pPr>
      <w:spacing w:before="100" w:beforeAutospacing="1" w:after="100" w:afterAutospacing="1"/>
    </w:pPr>
  </w:style>
  <w:style w:type="table" w:styleId="a7">
    <w:name w:val="Table Grid"/>
    <w:basedOn w:val="a1"/>
    <w:qFormat/>
    <w:rsid w:val="00E30B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E30BBA"/>
    <w:rPr>
      <w:b/>
    </w:rPr>
  </w:style>
  <w:style w:type="paragraph" w:customStyle="1" w:styleId="1">
    <w:name w:val="列出段落1"/>
    <w:basedOn w:val="a"/>
    <w:uiPriority w:val="99"/>
    <w:qFormat/>
    <w:rsid w:val="00E30BBA"/>
    <w:pPr>
      <w:ind w:firstLineChars="200" w:firstLine="420"/>
    </w:pPr>
    <w:rPr>
      <w:rFonts w:hint="default"/>
    </w:rPr>
  </w:style>
  <w:style w:type="paragraph" w:customStyle="1" w:styleId="Char0">
    <w:name w:val="普通(网站) Char"/>
    <w:qFormat/>
    <w:rsid w:val="00E30BBA"/>
    <w:pPr>
      <w:spacing w:before="100" w:beforeAutospacing="1" w:after="100" w:afterAutospacing="1"/>
    </w:pPr>
    <w:rPr>
      <w:rFonts w:ascii="宋体" w:hAnsi="宋体"/>
      <w:sz w:val="24"/>
      <w:szCs w:val="24"/>
    </w:rPr>
  </w:style>
  <w:style w:type="character" w:customStyle="1" w:styleId="21">
    <w:name w:val="21"/>
    <w:qFormat/>
    <w:rsid w:val="00E30BBA"/>
    <w:rPr>
      <w:rFonts w:ascii="Wingdings" w:hAnsi="Wingdings" w:cs="Wingdings" w:hint="default"/>
      <w:b/>
      <w:bCs/>
    </w:rPr>
  </w:style>
  <w:style w:type="paragraph" w:customStyle="1" w:styleId="2">
    <w:name w:val="列出段落2"/>
    <w:uiPriority w:val="99"/>
    <w:qFormat/>
    <w:rsid w:val="00E30BBA"/>
    <w:pPr>
      <w:ind w:firstLineChars="200" w:firstLine="420"/>
    </w:pPr>
    <w:rPr>
      <w:rFonts w:ascii="宋体" w:hAnsi="宋体"/>
      <w:sz w:val="24"/>
      <w:szCs w:val="24"/>
    </w:rPr>
  </w:style>
  <w:style w:type="character" w:customStyle="1" w:styleId="Char">
    <w:name w:val="批注框文本 Char"/>
    <w:basedOn w:val="a0"/>
    <w:link w:val="a3"/>
    <w:qFormat/>
    <w:rsid w:val="00E30BBA"/>
    <w:rPr>
      <w:rFonts w:ascii="宋体" w:hAnsi="宋体"/>
      <w:sz w:val="18"/>
      <w:szCs w:val="18"/>
    </w:rPr>
  </w:style>
  <w:style w:type="character" w:customStyle="1" w:styleId="20">
    <w:name w:val="20"/>
    <w:basedOn w:val="a0"/>
    <w:rsid w:val="00E30BBA"/>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8134</Words>
  <Characters>3799</Characters>
  <Application>Microsoft Office Word</Application>
  <DocSecurity>0</DocSecurity>
  <Lines>31</Lines>
  <Paragraphs>23</Paragraphs>
  <ScaleCrop>false</ScaleCrop>
  <Company>Microsoft</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17</cp:revision>
  <dcterms:created xsi:type="dcterms:W3CDTF">2024-07-11T02:00:00Z</dcterms:created>
  <dcterms:modified xsi:type="dcterms:W3CDTF">2024-10-29T09:10:00Z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BB46EABDBB2749749395447164B066B3_12</vt:lpwstr>
  </property>
</Properties>
</file>