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r>
        <w:rPr>
          <w:rFonts w:ascii="方正小标宋_GBK" w:hAnsi="方正小标宋_GBK" w:eastAsia="方正小标宋_GBK" w:cs="方正小标宋_GBK"/>
          <w:sz w:val="36"/>
          <w:szCs w:val="36"/>
        </w:rPr>
        <w:t>重庆市忠县工商业联合会</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kinsoku/>
        <w:wordWrap/>
        <w:overflowPunct/>
        <w:topLinePunct w:val="0"/>
        <w:autoSpaceDE/>
        <w:autoSpaceDN/>
        <w:bidi w:val="0"/>
        <w:adjustRightInd/>
        <w:snapToGrid/>
        <w:spacing w:line="514"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坚持党的领导。坚决贯彻党的意志的主张，坚定不移走中国特色社会主义人民团体和商会组织发展道路，切实增强工商联组织的政治性、先进性、群众性，充分发挥工商联组织统战性、经济性、民间性的独特作用，汇聚全县广大非公有制经济人士推进社会主义现代化建设的强大合力。</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2、依法依章程独立自主开展工作。按照县委和市工商联的要求，贯彻执行忠县工商联代表大会确定的方针任务和作出的决定，指导基层业务工作。</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加强对非公有制经济人士的政治引领。引导非公有制经济人士爱国、敬业、创新、守法、诚信、贡献，做合格的中国特色社会主义事业建设者。开展理想信念教育，切实担负起团结带领广大非公有制经济人士听党话、跟党走的政治任务，最广泛最紧密地将非公有制经济人士团结在党的周围。引导非公有制经济人士投身光彩事业和公益慈善事业，积极参与扶贫开发，履行社会责任。</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积极参政议政。履行政治协商、民主监督、参政议政的职能，参加政党协商。反映非公有制经济人士诉求，依法依章程帮助其维护合法权益。畅通非公有制经济人士参与政治渠道，帮助提高议政建言水平。做好非公有制经济代表人士的发现、培养、推荐和服务工作。</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协助政府管理和服务非公有制经济。落实支持非公有制经济发展的各项方针政策。积极探索建立有效服务载体和机制，为非公有制企业提供信息、法律、融资、技术、人才等方面服务。积极开展民间外交，加强同境外工商界的交流合作，为非公有制企业开展国际合作提供服务。</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强化商会协会管理。加强对所属商会的指导、引导和服务，对所属商会会员开展思想政治、教育培训工作，对主要负责人进行考核。充分发挥宣传政策、提供服务、反映诉求、维护权益、加强自律的作用。在政社分离、行业商会协会与行政机关脱钩改革中发挥承接、服务作用。加强所属商会协会党建工作。</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积极参与社会治理。切实发挥工商联参与社会事务管理服务作用，按照法定程序承接政府转移的社会管理服务职能，组织所属商会协会有序承接政府转移职能。发挥工商联组织在法律维权、民事商事调解、协调劳动关系等方面积极作用，参与社会治理，促进社会和谐稳定。</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拓展工商联组织覆盖和工作覆盖。加大工商联会员发展力度，在支柱产业、战略性新兴行业、现代服务业等领域积极培育发展商会组织，在开发区、工业园区、商圈楼宇等企业密集度高的区域加大商会组建力度。建设网上非公有制经济人士之家，创新面向社会提供公共服务产品的机制，接长手臂、形成链条、扩大影响。</w:t>
      </w:r>
    </w:p>
    <w:p>
      <w:pPr>
        <w:pStyle w:val="6"/>
        <w:keepNext w:val="0"/>
        <w:keepLines w:val="0"/>
        <w:pageBreakBefore w:val="0"/>
        <w:kinsoku/>
        <w:wordWrap/>
        <w:overflowPunct/>
        <w:topLinePunct w:val="0"/>
        <w:autoSpaceDE/>
        <w:autoSpaceDN/>
        <w:bidi w:val="0"/>
        <w:adjustRightInd/>
        <w:snapToGrid/>
        <w:spacing w:line="514"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9、研究指导工商联自身改革和建设。加强工商联领导班子和机关干部队伍建设。加强相关理论政策研究，开展民营经济发展情况调研，为县委、县政府决策提供支撑。</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hint="default" w:ascii="Times New Roman" w:hAnsi="Times New Roman" w:eastAsia="方正仿宋_GBK" w:cs="Times New Roman"/>
          <w:kern w:val="0"/>
          <w:sz w:val="32"/>
          <w:szCs w:val="32"/>
        </w:rPr>
      </w:pPr>
      <w:r>
        <w:rPr>
          <w:rFonts w:hint="eastAsia" w:ascii="仿宋_GB2312" w:hAnsi="仿宋_GB2312" w:eastAsia="仿宋_GB2312" w:cs="仿宋_GB2312"/>
          <w:color w:val="000000"/>
          <w:kern w:val="2"/>
          <w:sz w:val="32"/>
          <w:szCs w:val="32"/>
          <w:lang w:val="en-US" w:eastAsia="zh-CN" w:bidi="ar-SA"/>
        </w:rPr>
        <w:t>10、完成县委、县政府和上级工商联交办的其它工作。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tabs>
          <w:tab w:val="center" w:pos="4153"/>
          <w:tab w:val="left" w:pos="7275"/>
        </w:tabs>
        <w:kinsoku/>
        <w:wordWrap/>
        <w:overflowPunct/>
        <w:topLinePunct w:val="0"/>
        <w:autoSpaceDE/>
        <w:autoSpaceDN/>
        <w:bidi w:val="0"/>
        <w:adjustRightInd/>
        <w:snapToGrid/>
        <w:spacing w:line="454" w:lineRule="exact"/>
        <w:ind w:firstLine="64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32"/>
          <w:szCs w:val="32"/>
          <w:lang w:val="en-US" w:eastAsia="zh-CN" w:bidi="ar-SA"/>
        </w:rPr>
        <w:t>县工商联有内设机构三个：办公室、经济部、会员部，在职行政人员5名。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2023年度收入总计249.56万元，支出总计</w:t>
      </w:r>
      <w:r>
        <w:rPr>
          <w:rFonts w:ascii="方正仿宋_GBK" w:hAnsi="方正仿宋_GBK" w:eastAsia="方正仿宋_GBK" w:cs="方正仿宋_GBK"/>
          <w:sz w:val="32"/>
          <w:szCs w:val="32"/>
        </w:rPr>
        <w:t>249.56</w:t>
      </w:r>
      <w:r>
        <w:rPr>
          <w:rFonts w:ascii="方正仿宋_GBK" w:hAnsi="方正仿宋_GBK" w:eastAsia="方正仿宋_GBK" w:cs="方正仿宋_GBK"/>
          <w:sz w:val="32"/>
          <w:szCs w:val="32"/>
          <w:shd w:val="clear" w:color="auto" w:fill="FFFFFF"/>
        </w:rPr>
        <w:t>万元。收支较上年决算数增加21.26万元，增长9.31%，主要原因是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r>
        <w:rPr>
          <w:rFonts w:hint="eastAsia" w:ascii="Times New Roman" w:hAnsi="Times New Roman" w:eastAsia="方正仿宋_GBK" w:cs="Times New Roman"/>
          <w:i w:val="0"/>
          <w:iCs w:val="0"/>
          <w:caps w:val="0"/>
          <w:color w:val="333333"/>
          <w:spacing w:val="0"/>
          <w:sz w:val="32"/>
          <w:szCs w:val="32"/>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2023年度收入合计249.56万元，较上年决算数增加21.26万元，增长9.31%，</w:t>
      </w:r>
      <w:r>
        <w:rPr>
          <w:rFonts w:hint="eastAsia" w:ascii="Times New Roman" w:hAnsi="Times New Roman" w:eastAsia="方正仿宋_GBK" w:cs="Times New Roman"/>
          <w:i w:val="0"/>
          <w:iCs w:val="0"/>
          <w:caps w:val="0"/>
          <w:color w:val="333333"/>
          <w:spacing w:val="0"/>
          <w:sz w:val="32"/>
          <w:szCs w:val="32"/>
          <w:lang w:val="en-US" w:eastAsia="zh-CN"/>
        </w:rPr>
        <w:t>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r>
        <w:rPr>
          <w:rFonts w:hint="eastAsia" w:ascii="Times New Roman" w:hAnsi="Times New Roman" w:eastAsia="方正仿宋_GBK" w:cs="Times New Roman"/>
          <w:i w:val="0"/>
          <w:iCs w:val="0"/>
          <w:caps w:val="0"/>
          <w:color w:val="333333"/>
          <w:spacing w:val="0"/>
          <w:sz w:val="32"/>
          <w:szCs w:val="32"/>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249.56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249.56</w:t>
      </w:r>
      <w:r>
        <w:rPr>
          <w:rFonts w:ascii="方正仿宋_GBK" w:hAnsi="方正仿宋_GBK" w:eastAsia="方正仿宋_GBK" w:cs="方正仿宋_GBK"/>
          <w:sz w:val="32"/>
          <w:szCs w:val="32"/>
          <w:shd w:val="clear" w:color="auto" w:fill="FFFFFF"/>
        </w:rPr>
        <w:t>万元，较上年决算数增加21.26万元，增长9.31%，</w:t>
      </w:r>
      <w:r>
        <w:rPr>
          <w:rFonts w:hint="eastAsia" w:ascii="Times New Roman" w:hAnsi="Times New Roman" w:eastAsia="方正仿宋_GBK" w:cs="Times New Roman"/>
          <w:i w:val="0"/>
          <w:iCs w:val="0"/>
          <w:caps w:val="0"/>
          <w:color w:val="333333"/>
          <w:spacing w:val="0"/>
          <w:sz w:val="32"/>
          <w:szCs w:val="32"/>
          <w:lang w:val="en-US" w:eastAsia="zh-CN"/>
        </w:rPr>
        <w:t>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r>
        <w:rPr>
          <w:rFonts w:hint="eastAsia" w:ascii="Times New Roman" w:hAnsi="Times New Roman" w:eastAsia="方正仿宋_GBK" w:cs="Times New Roman"/>
          <w:i w:val="0"/>
          <w:iCs w:val="0"/>
          <w:caps w:val="0"/>
          <w:color w:val="333333"/>
          <w:spacing w:val="0"/>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196.37</w:t>
      </w:r>
      <w:r>
        <w:rPr>
          <w:rFonts w:ascii="方正仿宋_GBK" w:hAnsi="方正仿宋_GBK" w:eastAsia="方正仿宋_GBK" w:cs="方正仿宋_GBK"/>
          <w:sz w:val="32"/>
          <w:szCs w:val="32"/>
          <w:shd w:val="clear" w:color="auto" w:fill="FFFFFF"/>
        </w:rPr>
        <w:t>万元，占78.69%；项目支出</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万元，占21.31%；经营支出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2023年度财政拨款收、支总计249.56万元。与2022年相比，财政拨款收、支总计各增加21.26万元，增长9.31%。主要原因是</w:t>
      </w:r>
      <w:r>
        <w:rPr>
          <w:rFonts w:hint="eastAsia" w:ascii="Times New Roman" w:hAnsi="Times New Roman" w:eastAsia="方正仿宋_GBK" w:cs="Times New Roman"/>
          <w:i w:val="0"/>
          <w:iCs w:val="0"/>
          <w:caps w:val="0"/>
          <w:color w:val="333333"/>
          <w:spacing w:val="0"/>
          <w:sz w:val="32"/>
          <w:szCs w:val="32"/>
          <w:lang w:val="en-US" w:eastAsia="zh-CN"/>
        </w:rPr>
        <w:t>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r>
        <w:rPr>
          <w:rFonts w:hint="eastAsia" w:ascii="Times New Roman" w:hAnsi="Times New Roman" w:eastAsia="方正仿宋_GBK" w:cs="Times New Roman"/>
          <w:i w:val="0"/>
          <w:iCs w:val="0"/>
          <w:caps w:val="0"/>
          <w:color w:val="333333"/>
          <w:spacing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249.56</w:t>
      </w:r>
      <w:r>
        <w:rPr>
          <w:rFonts w:ascii="方正仿宋_GBK" w:hAnsi="方正仿宋_GBK" w:eastAsia="方正仿宋_GBK" w:cs="方正仿宋_GBK"/>
          <w:sz w:val="32"/>
          <w:szCs w:val="32"/>
          <w:shd w:val="clear" w:color="auto" w:fill="FFFFFF"/>
        </w:rPr>
        <w:t>万元，较上年决算数增加21.26万元，增长9.31%。主要原因是</w:t>
      </w:r>
      <w:r>
        <w:rPr>
          <w:rFonts w:hint="eastAsia" w:ascii="Times New Roman" w:hAnsi="Times New Roman" w:eastAsia="方正仿宋_GBK" w:cs="Times New Roman"/>
          <w:i w:val="0"/>
          <w:iCs w:val="0"/>
          <w:caps w:val="0"/>
          <w:color w:val="333333"/>
          <w:spacing w:val="0"/>
          <w:sz w:val="32"/>
          <w:szCs w:val="32"/>
          <w:lang w:val="en-US" w:eastAsia="zh-CN"/>
        </w:rPr>
        <w:t>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r>
        <w:rPr>
          <w:rFonts w:ascii="方正仿宋_GBK" w:hAnsi="方正仿宋_GBK" w:eastAsia="方正仿宋_GBK" w:cs="方正仿宋_GBK"/>
          <w:sz w:val="32"/>
          <w:szCs w:val="32"/>
          <w:shd w:val="clear" w:color="auto" w:fill="FFFFFF"/>
        </w:rPr>
        <w:t>较年初预算数增加54.35万元，增长27.84%。主要原因是</w:t>
      </w:r>
      <w:r>
        <w:rPr>
          <w:rFonts w:hint="eastAsia" w:ascii="方正仿宋_GBK" w:hAnsi="方正仿宋_GBK" w:eastAsia="方正仿宋_GBK" w:cs="方正仿宋_GBK"/>
          <w:sz w:val="32"/>
          <w:szCs w:val="32"/>
          <w:shd w:val="clear" w:color="auto" w:fill="FFFFFF"/>
          <w:lang w:val="en-US" w:eastAsia="zh-CN"/>
        </w:rPr>
        <w:t>机关日常运行经费增加。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249.56</w:t>
      </w:r>
      <w:r>
        <w:rPr>
          <w:rFonts w:ascii="方正仿宋_GBK" w:hAnsi="方正仿宋_GBK" w:eastAsia="方正仿宋_GBK" w:cs="方正仿宋_GBK"/>
          <w:sz w:val="32"/>
          <w:szCs w:val="32"/>
          <w:shd w:val="clear" w:color="auto" w:fill="FFFFFF"/>
        </w:rPr>
        <w:t>万元，较上年决算数增加21.26万元，增长9.31%。主要原因是</w:t>
      </w:r>
      <w:r>
        <w:rPr>
          <w:rFonts w:ascii="方正仿宋_GBK" w:hAnsi="方正仿宋_GBK" w:eastAsia="方正仿宋_GBK" w:cs="方正仿宋_GBK"/>
          <w:color w:val="FF0000"/>
          <w:sz w:val="32"/>
          <w:szCs w:val="32"/>
          <w:shd w:val="clear" w:color="auto" w:fill="FFFFFF"/>
        </w:rPr>
        <w:t>.</w:t>
      </w:r>
      <w:r>
        <w:rPr>
          <w:rFonts w:hint="eastAsia" w:ascii="Times New Roman" w:hAnsi="Times New Roman" w:eastAsia="方正仿宋_GBK" w:cs="Times New Roman"/>
          <w:i w:val="0"/>
          <w:iCs w:val="0"/>
          <w:caps w:val="0"/>
          <w:color w:val="333333"/>
          <w:spacing w:val="0"/>
          <w:sz w:val="32"/>
          <w:szCs w:val="32"/>
          <w:lang w:val="en-US" w:eastAsia="zh-CN"/>
        </w:rPr>
        <w:t>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r>
        <w:rPr>
          <w:rFonts w:ascii="方正仿宋_GBK" w:hAnsi="方正仿宋_GBK" w:eastAsia="方正仿宋_GBK" w:cs="方正仿宋_GBK"/>
          <w:sz w:val="32"/>
          <w:szCs w:val="32"/>
          <w:shd w:val="clear" w:color="auto" w:fill="FFFFFF"/>
        </w:rPr>
        <w:t>较年初预算数增加54.35万元，增长27.84%。主要原因是</w:t>
      </w:r>
      <w:r>
        <w:rPr>
          <w:rFonts w:hint="eastAsia" w:ascii="方正仿宋_GBK" w:hAnsi="方正仿宋_GBK" w:eastAsia="方正仿宋_GBK" w:cs="方正仿宋_GBK"/>
          <w:sz w:val="32"/>
          <w:szCs w:val="32"/>
          <w:shd w:val="clear" w:color="auto" w:fill="FFFFFF"/>
          <w:lang w:val="en-US" w:eastAsia="zh-CN"/>
        </w:rPr>
        <w:t>机关日常运行经费增加。</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333333"/>
          <w:spacing w:val="0"/>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188.31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75.46</w:t>
      </w:r>
      <w:r>
        <w:rPr>
          <w:rFonts w:ascii="方正仿宋_GBK" w:hAnsi="方正仿宋_GBK" w:eastAsia="方正仿宋_GBK" w:cs="方正仿宋_GBK"/>
          <w:sz w:val="32"/>
          <w:szCs w:val="32"/>
          <w:shd w:val="clear" w:color="auto" w:fill="FFFFFF"/>
        </w:rPr>
        <w:t>%，较年初预算数增加51.48万元，增长37.62%，主要原因是</w:t>
      </w:r>
      <w:r>
        <w:rPr>
          <w:rFonts w:hint="default" w:ascii="Times New Roman" w:hAnsi="Times New Roman" w:eastAsia="方正仿宋_GBK" w:cs="Times New Roman"/>
          <w:i w:val="0"/>
          <w:iCs w:val="0"/>
          <w:caps w:val="0"/>
          <w:color w:val="333333"/>
          <w:spacing w:val="0"/>
          <w:sz w:val="32"/>
          <w:szCs w:val="32"/>
          <w:lang w:eastAsia="zh-CN"/>
        </w:rPr>
        <w:t>增加工资福利和公用经费等支出。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0.56</w:t>
      </w:r>
      <w:r>
        <w:rPr>
          <w:rFonts w:ascii="方正仿宋_GBK" w:hAnsi="方正仿宋_GBK" w:eastAsia="方正仿宋_GBK" w:cs="方正仿宋_GBK"/>
          <w:sz w:val="32"/>
          <w:szCs w:val="32"/>
          <w:shd w:val="clear" w:color="auto" w:fill="FFFFFF"/>
        </w:rPr>
        <w:t>%，较年初预算数增加0.82万元，增长143.86%</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15.28</w:t>
      </w:r>
      <w:r>
        <w:rPr>
          <w:rFonts w:ascii="方正仿宋_GBK" w:hAnsi="方正仿宋_GBK" w:eastAsia="方正仿宋_GBK" w:cs="方正仿宋_GBK"/>
          <w:sz w:val="32"/>
          <w:szCs w:val="32"/>
          <w:shd w:val="clear" w:color="auto" w:fill="FFFFFF"/>
        </w:rPr>
        <w:t>%，较年初预算数增加2.27万元，增长6.33%，主要原因是</w:t>
      </w:r>
      <w:r>
        <w:rPr>
          <w:rFonts w:hint="eastAsia" w:ascii="方正仿宋_GBK" w:hAnsi="方正仿宋_GBK" w:eastAsia="方正仿宋_GBK" w:cs="方正仿宋_GBK"/>
          <w:sz w:val="32"/>
          <w:szCs w:val="32"/>
          <w:shd w:val="clear" w:color="auto" w:fill="FFFFFF"/>
          <w:lang w:val="en-US" w:eastAsia="zh-CN"/>
        </w:rPr>
        <w:t>缴费基数调整。</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%，较年初预算数减少0.08万元，下降0.92%，主要原因是</w:t>
      </w:r>
      <w:r>
        <w:rPr>
          <w:rFonts w:hint="eastAsia" w:ascii="方正仿宋_GBK" w:hAnsi="方正仿宋_GBK" w:eastAsia="方正仿宋_GBK" w:cs="方正仿宋_GBK"/>
          <w:sz w:val="32"/>
          <w:szCs w:val="32"/>
          <w:shd w:val="clear" w:color="auto" w:fill="FFFFFF"/>
          <w:lang w:val="en-US" w:eastAsia="zh-CN" w:bidi="ar-SA"/>
        </w:rPr>
        <w:t>人员减少。</w:t>
      </w:r>
    </w:p>
    <w:p>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5.23</w:t>
      </w:r>
      <w:r>
        <w:rPr>
          <w:rFonts w:ascii="方正仿宋_GBK" w:hAnsi="方正仿宋_GBK" w:eastAsia="方正仿宋_GBK" w:cs="方正仿宋_GBK"/>
          <w:sz w:val="32"/>
          <w:szCs w:val="32"/>
          <w:shd w:val="clear" w:color="auto" w:fill="FFFFFF"/>
        </w:rPr>
        <w:t>%，较年初预算数减少0.13万元，下降0.99%，主要原因是</w:t>
      </w:r>
      <w:r>
        <w:rPr>
          <w:rFonts w:hint="eastAsia" w:ascii="方正仿宋_GBK" w:hAnsi="方正仿宋_GBK" w:eastAsia="方正仿宋_GBK" w:cs="方正仿宋_GBK"/>
          <w:sz w:val="32"/>
          <w:szCs w:val="32"/>
          <w:shd w:val="clear" w:color="auto" w:fill="FFFFFF"/>
          <w:lang w:val="en-US" w:eastAsia="zh-CN" w:bidi="ar-SA"/>
        </w:rPr>
        <w:t>人员减少。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196.37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172.23</w:t>
      </w:r>
      <w:r>
        <w:rPr>
          <w:rFonts w:ascii="方正仿宋_GBK" w:hAnsi="方正仿宋_GBK" w:eastAsia="方正仿宋_GBK" w:cs="方正仿宋_GBK"/>
          <w:sz w:val="32"/>
          <w:szCs w:val="32"/>
          <w:shd w:val="clear" w:color="auto" w:fill="FFFFFF"/>
        </w:rPr>
        <w:t>万元，较上年决算数增加21.28万元，增长14.10%，</w:t>
      </w:r>
      <w:r>
        <w:rPr>
          <w:rFonts w:hint="default" w:ascii="Times New Roman" w:hAnsi="Times New Roman" w:eastAsia="方正仿宋_GBK" w:cs="Times New Roman"/>
          <w:i w:val="0"/>
          <w:iCs w:val="0"/>
          <w:caps w:val="0"/>
          <w:color w:val="333333"/>
          <w:spacing w:val="0"/>
          <w:sz w:val="32"/>
          <w:szCs w:val="32"/>
          <w:lang w:eastAsia="zh-CN"/>
        </w:rPr>
        <w:t>单位人员增减变动，工资、绩效、社保、住房公积金等支出相应发生变化。人员经费用途主要包括</w:t>
      </w:r>
      <w:r>
        <w:rPr>
          <w:rFonts w:hint="eastAsia" w:ascii="Times New Roman" w:hAnsi="Times New Roman" w:eastAsia="方正仿宋_GBK" w:cs="Times New Roman"/>
          <w:i w:val="0"/>
          <w:iCs w:val="0"/>
          <w:caps w:val="0"/>
          <w:color w:val="333333"/>
          <w:spacing w:val="0"/>
          <w:sz w:val="32"/>
          <w:szCs w:val="32"/>
          <w:lang w:val="en-US" w:eastAsia="zh-CN"/>
        </w:rPr>
        <w:t>工资、津补贴、社会保险费用</w:t>
      </w:r>
      <w:r>
        <w:rPr>
          <w:rFonts w:hint="default" w:ascii="Times New Roman" w:hAnsi="Times New Roman" w:eastAsia="方正仿宋_GBK" w:cs="Times New Roman"/>
          <w:i w:val="0"/>
          <w:iCs w:val="0"/>
          <w:caps w:val="0"/>
          <w:color w:val="333333"/>
          <w:spacing w:val="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24.14</w:t>
      </w:r>
      <w:r>
        <w:rPr>
          <w:rFonts w:ascii="方正仿宋_GBK" w:hAnsi="方正仿宋_GBK" w:eastAsia="方正仿宋_GBK" w:cs="方正仿宋_GBK"/>
          <w:sz w:val="32"/>
          <w:szCs w:val="32"/>
          <w:shd w:val="clear" w:color="auto" w:fill="FFFFFF"/>
        </w:rPr>
        <w:t>万元，较上年决算数减少2.32万元，下降8.77%，主要原因</w:t>
      </w:r>
      <w:r>
        <w:rPr>
          <w:rFonts w:hint="default" w:ascii="Times New Roman" w:hAnsi="Times New Roman" w:eastAsia="方正仿宋_GBK" w:cs="Times New Roman"/>
          <w:i w:val="0"/>
          <w:iCs w:val="0"/>
          <w:caps w:val="0"/>
          <w:color w:val="333333"/>
          <w:spacing w:val="0"/>
          <w:sz w:val="32"/>
          <w:szCs w:val="32"/>
          <w:lang w:eastAsia="zh-CN"/>
        </w:rPr>
        <w:t>单位人员增减变动</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Times New Roman"/>
          <w:i w:val="0"/>
          <w:iCs w:val="0"/>
          <w:caps w:val="0"/>
          <w:color w:val="333333"/>
          <w:spacing w:val="0"/>
          <w:sz w:val="32"/>
          <w:szCs w:val="32"/>
          <w:lang w:val="en-US" w:eastAsia="zh-CN"/>
        </w:rPr>
        <w:t>办公及印刷费、邮电费、差旅费、会议费、福利费、日常维护费、专用材料及一般设备购置费、办公用房水电费、办公用房取暖费、办公用房物业管理费、公务用车运行维护费以及其他费用。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较上年支出数增加2.54万元，增长552.17%，主要原因是</w:t>
      </w:r>
      <w:r>
        <w:rPr>
          <w:rFonts w:hint="eastAsia" w:ascii="方正仿宋_GBK" w:hAnsi="方正仿宋_GBK" w:eastAsia="方正仿宋_GBK" w:cs="方正仿宋_GBK"/>
          <w:sz w:val="32"/>
          <w:szCs w:val="32"/>
          <w:shd w:val="clear" w:color="auto" w:fill="FFFFFF"/>
          <w:lang w:val="en-US" w:eastAsia="zh-CN"/>
        </w:rPr>
        <w:t>组建在外商会，接待费增加。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r>
        <w:rPr>
          <w:rFonts w:hint="eastAsia" w:ascii="Times New Roman" w:hAnsi="Times New Roman" w:eastAsia="方正仿宋_GBK" w:cs="Times New Roman"/>
          <w:i w:val="0"/>
          <w:iCs w:val="0"/>
          <w:caps w:val="0"/>
          <w:color w:val="333333"/>
          <w:spacing w:val="0"/>
          <w:sz w:val="32"/>
          <w:szCs w:val="32"/>
          <w:lang w:val="en-US" w:eastAsia="zh-CN"/>
        </w:rPr>
        <w:t>主要用于接待接待外地商会来忠投资考察、项目合作、工作交流等</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较上年支出数增加2.54万元，增长552.17%，主要原因是</w:t>
      </w:r>
      <w:r>
        <w:rPr>
          <w:rFonts w:hint="eastAsia" w:ascii="方正仿宋_GBK" w:hAnsi="方正仿宋_GBK" w:eastAsia="方正仿宋_GBK" w:cs="方正仿宋_GBK"/>
          <w:sz w:val="32"/>
          <w:szCs w:val="32"/>
          <w:shd w:val="clear" w:color="auto" w:fill="FFFFFF"/>
          <w:lang w:val="en-US" w:eastAsia="zh-CN"/>
        </w:rPr>
        <w:t>因工作人员失误，造成数据错误。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93.75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8.11</w:t>
      </w:r>
      <w:r>
        <w:rPr>
          <w:rFonts w:ascii="方正仿宋_GBK" w:hAnsi="方正仿宋_GBK" w:eastAsia="方正仿宋_GBK" w:cs="方正仿宋_GBK"/>
          <w:sz w:val="32"/>
          <w:szCs w:val="32"/>
          <w:shd w:val="clear" w:color="auto" w:fill="FFFFFF"/>
        </w:rPr>
        <w:t>万元，较上年决算数减少18.48万元，下降69.50%，</w:t>
      </w:r>
      <w:r>
        <w:rPr>
          <w:rFonts w:hint="default" w:ascii="Times New Roman" w:hAnsi="Times New Roman" w:eastAsia="方正仿宋_GBK" w:cs="Times New Roman"/>
          <w:kern w:val="0"/>
          <w:sz w:val="32"/>
          <w:szCs w:val="32"/>
          <w:lang w:eastAsia="zh-CN"/>
        </w:rPr>
        <w:t>主要原因是</w:t>
      </w:r>
      <w:r>
        <w:rPr>
          <w:rFonts w:hint="eastAsia" w:ascii="Times New Roman" w:hAnsi="Times New Roman" w:eastAsia="方正仿宋_GBK" w:cs="Times New Roman"/>
          <w:kern w:val="0"/>
          <w:sz w:val="32"/>
          <w:szCs w:val="32"/>
          <w:lang w:val="en-US" w:eastAsia="zh-CN"/>
        </w:rPr>
        <w:t>会议次数和人数减少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4.06</w:t>
      </w:r>
      <w:r>
        <w:rPr>
          <w:rFonts w:ascii="方正仿宋_GBK" w:hAnsi="方正仿宋_GBK" w:eastAsia="方正仿宋_GBK" w:cs="方正仿宋_GBK"/>
          <w:sz w:val="32"/>
          <w:szCs w:val="32"/>
          <w:shd w:val="clear" w:color="auto" w:fill="FFFFFF"/>
        </w:rPr>
        <w:t>万元，较上年决算数增加4.06万元，增长100.00%，</w:t>
      </w:r>
      <w:r>
        <w:rPr>
          <w:rFonts w:hint="default" w:ascii="Times New Roman" w:hAnsi="Times New Roman" w:eastAsia="方正仿宋_GBK" w:cs="Times New Roman"/>
          <w:kern w:val="0"/>
          <w:sz w:val="32"/>
          <w:szCs w:val="32"/>
          <w:lang w:eastAsia="zh-CN"/>
        </w:rPr>
        <w:t>主要原因是</w:t>
      </w:r>
      <w:r>
        <w:rPr>
          <w:rFonts w:hint="eastAsia" w:ascii="Times New Roman" w:hAnsi="Times New Roman" w:eastAsia="方正仿宋_GBK" w:cs="Times New Roman"/>
          <w:kern w:val="0"/>
          <w:sz w:val="32"/>
          <w:szCs w:val="32"/>
          <w:lang w:val="en-US" w:eastAsia="zh-CN"/>
        </w:rPr>
        <w:t>培训次数和人数增加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24.14</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Times New Roman"/>
          <w:i w:val="0"/>
          <w:iCs w:val="0"/>
          <w:caps w:val="0"/>
          <w:color w:val="333333"/>
          <w:spacing w:val="0"/>
          <w:sz w:val="32"/>
          <w:szCs w:val="32"/>
          <w:lang w:val="en-US" w:eastAsia="zh-CN"/>
        </w:rPr>
        <w:t>机关运行经费主要用于开支办公费、印刷费、水费、电费、邮电费、会议费、差旅费、招待费、交通费等。机关运行经费主要是人员经费开支、接待费、会议费、外出考察及交流活动增加等。</w:t>
      </w:r>
      <w:r>
        <w:rPr>
          <w:rFonts w:ascii="方正仿宋_GBK" w:hAnsi="方正仿宋_GBK" w:eastAsia="方正仿宋_GBK" w:cs="方正仿宋_GBK"/>
          <w:sz w:val="32"/>
          <w:szCs w:val="32"/>
          <w:shd w:val="clear" w:color="auto" w:fill="FFFFFF"/>
        </w:rPr>
        <w:t>机关运行经费较上年支出数减少2.32万元，下降8.77%，主要原因是</w:t>
      </w:r>
      <w:r>
        <w:rPr>
          <w:rFonts w:hint="default" w:ascii="Times New Roman" w:hAnsi="Times New Roman" w:eastAsia="方正仿宋_GBK" w:cs="Times New Roman"/>
          <w:i w:val="0"/>
          <w:iCs w:val="0"/>
          <w:caps w:val="0"/>
          <w:color w:val="333333"/>
          <w:spacing w:val="0"/>
          <w:sz w:val="32"/>
          <w:szCs w:val="32"/>
          <w:lang w:eastAsia="zh-CN"/>
        </w:rPr>
        <w:t>单位人员增减变动</w:t>
      </w:r>
      <w:r>
        <w:rPr>
          <w:rFonts w:hint="eastAsia" w:ascii="Times New Roman" w:hAnsi="Times New Roman" w:eastAsia="方正仿宋_GBK" w:cs="Times New Roman"/>
          <w:i w:val="0"/>
          <w:iCs w:val="0"/>
          <w:caps w:val="0"/>
          <w:color w:val="333333"/>
          <w:spacing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小标宋_GBK" w:cs="宋体"/>
          <w:color w:val="000000"/>
          <w:kern w:val="0"/>
          <w:sz w:val="36"/>
          <w:szCs w:val="36"/>
        </w:rPr>
      </w:pPr>
      <w:r>
        <w:rPr>
          <w:rFonts w:hint="default" w:ascii="Times New Roman" w:hAnsi="Times New Roman" w:eastAsia="方正仿宋_GBK" w:cs="Times New Roman"/>
          <w:kern w:val="0"/>
          <w:sz w:val="32"/>
          <w:szCs w:val="32"/>
        </w:rPr>
        <w:t>根据预算绩效管理要求，我</w:t>
      </w:r>
      <w:r>
        <w:rPr>
          <w:rFonts w:hint="eastAsia" w:ascii="Times New Roman" w:hAnsi="Times New Roman" w:eastAsia="方正仿宋_GBK" w:cs="Times New Roman"/>
          <w:kern w:val="0"/>
          <w:sz w:val="32"/>
          <w:szCs w:val="32"/>
          <w:lang w:val="en-US" w:eastAsia="zh-CN"/>
        </w:rPr>
        <w:t>联</w:t>
      </w:r>
      <w:r>
        <w:rPr>
          <w:rFonts w:hint="default" w:ascii="Times New Roman" w:hAnsi="Times New Roman" w:eastAsia="方正仿宋_GBK" w:cs="Times New Roman"/>
          <w:kern w:val="0"/>
          <w:sz w:val="32"/>
          <w:szCs w:val="32"/>
        </w:rPr>
        <w:t>对部门整体开展了绩效自评。</w:t>
      </w:r>
    </w:p>
    <w:p>
      <w:pPr>
        <w:pStyle w:val="16"/>
        <w:tabs>
          <w:tab w:val="center" w:pos="4153"/>
          <w:tab w:val="left" w:pos="7275"/>
        </w:tabs>
        <w:spacing w:line="600" w:lineRule="exact"/>
        <w:ind w:firstLine="0" w:firstLineChars="0"/>
        <w:jc w:val="center"/>
        <w:rPr>
          <w:rFonts w:ascii="Times New Roman" w:hAnsi="Times New Roman" w:eastAsia="方正仿宋_GBK" w:cs="宋体"/>
          <w:kern w:val="0"/>
          <w:sz w:val="32"/>
          <w:szCs w:val="32"/>
        </w:rPr>
      </w:pPr>
      <w:r>
        <w:rPr>
          <w:rFonts w:hint="eastAsia" w:ascii="Times New Roman" w:hAnsi="Times New Roman" w:eastAsia="方正小标宋_GBK" w:cs="宋体"/>
          <w:color w:val="000000"/>
          <w:kern w:val="0"/>
          <w:sz w:val="36"/>
          <w:szCs w:val="36"/>
          <w:lang w:val="en-US" w:eastAsia="zh-CN"/>
        </w:rPr>
        <w:t>忠县工商联2023年度</w:t>
      </w:r>
      <w:r>
        <w:rPr>
          <w:rFonts w:hint="eastAsia" w:ascii="Times New Roman" w:hAnsi="Times New Roman" w:eastAsia="方正小标宋_GBK" w:cs="宋体"/>
          <w:color w:val="000000"/>
          <w:kern w:val="0"/>
          <w:sz w:val="36"/>
          <w:szCs w:val="36"/>
        </w:rPr>
        <w:t>部门整体绩效自评表</w:t>
      </w:r>
    </w:p>
    <w:tbl>
      <w:tblPr>
        <w:tblStyle w:val="7"/>
        <w:tblW w:w="9724" w:type="dxa"/>
        <w:tblInd w:w="-318" w:type="dxa"/>
        <w:tblLayout w:type="fixed"/>
        <w:tblCellMar>
          <w:top w:w="0" w:type="dxa"/>
          <w:left w:w="108" w:type="dxa"/>
          <w:bottom w:w="0" w:type="dxa"/>
          <w:right w:w="108" w:type="dxa"/>
        </w:tblCellMar>
      </w:tblPr>
      <w:tblGrid>
        <w:gridCol w:w="953"/>
        <w:gridCol w:w="732"/>
        <w:gridCol w:w="347"/>
        <w:gridCol w:w="256"/>
        <w:gridCol w:w="102"/>
        <w:gridCol w:w="749"/>
        <w:gridCol w:w="706"/>
        <w:gridCol w:w="323"/>
        <w:gridCol w:w="430"/>
        <w:gridCol w:w="253"/>
        <w:gridCol w:w="458"/>
        <w:gridCol w:w="88"/>
        <w:gridCol w:w="929"/>
        <w:gridCol w:w="1405"/>
        <w:gridCol w:w="91"/>
        <w:gridCol w:w="968"/>
        <w:gridCol w:w="934"/>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33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eastAsia="zh-CN"/>
              </w:rPr>
              <w:t>忠县工商业联合会</w:t>
            </w:r>
          </w:p>
        </w:tc>
        <w:tc>
          <w:tcPr>
            <w:tcW w:w="851"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财政</w:t>
            </w:r>
            <w:r>
              <w:rPr>
                <w:rFonts w:hint="eastAsia" w:ascii="Times New Roman" w:hAnsi="Times New Roman" w:eastAsia="方正仿宋_GBK" w:cs="宋体"/>
                <w:color w:val="000000"/>
                <w:kern w:val="0"/>
                <w:sz w:val="24"/>
                <w:szCs w:val="24"/>
                <w:lang w:eastAsia="zh-CN"/>
              </w:rPr>
              <w:t>科</w:t>
            </w:r>
            <w:r>
              <w:rPr>
                <w:rFonts w:hint="eastAsia" w:ascii="Times New Roman" w:hAnsi="Times New Roman" w:eastAsia="方正仿宋_GBK" w:cs="宋体"/>
                <w:color w:val="000000"/>
                <w:kern w:val="0"/>
                <w:sz w:val="24"/>
                <w:szCs w:val="24"/>
              </w:rPr>
              <w:t>室</w:t>
            </w:r>
          </w:p>
        </w:tc>
        <w:tc>
          <w:tcPr>
            <w:tcW w:w="1029"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产业科</w:t>
            </w:r>
          </w:p>
        </w:tc>
        <w:tc>
          <w:tcPr>
            <w:tcW w:w="11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自评总分（分）</w:t>
            </w:r>
          </w:p>
        </w:tc>
        <w:tc>
          <w:tcPr>
            <w:tcW w:w="4415"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r>
      <w:tr>
        <w:tblPrEx>
          <w:tblCellMar>
            <w:top w:w="0" w:type="dxa"/>
            <w:left w:w="108" w:type="dxa"/>
            <w:bottom w:w="0" w:type="dxa"/>
            <w:right w:w="108" w:type="dxa"/>
          </w:tblCellMar>
        </w:tblPrEx>
        <w:trPr>
          <w:trHeight w:val="575" w:hRule="atLeast"/>
        </w:trPr>
        <w:tc>
          <w:tcPr>
            <w:tcW w:w="95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133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851"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102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114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17" w:type="dxa"/>
            <w:gridSpan w:val="2"/>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陈海燕</w:t>
            </w:r>
          </w:p>
        </w:tc>
        <w:tc>
          <w:tcPr>
            <w:tcW w:w="1405" w:type="dxa"/>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1993"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85822008</w:t>
            </w:r>
          </w:p>
        </w:tc>
      </w:tr>
      <w:tr>
        <w:tblPrEx>
          <w:tblCellMar>
            <w:top w:w="0" w:type="dxa"/>
            <w:left w:w="108" w:type="dxa"/>
            <w:bottom w:w="0" w:type="dxa"/>
            <w:right w:w="108" w:type="dxa"/>
          </w:tblCellMar>
        </w:tblPrEx>
        <w:trPr>
          <w:trHeight w:val="971" w:hRule="atLeast"/>
        </w:trPr>
        <w:tc>
          <w:tcPr>
            <w:tcW w:w="95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部门预算执行情况</w:t>
            </w:r>
          </w:p>
        </w:tc>
        <w:tc>
          <w:tcPr>
            <w:tcW w:w="1079" w:type="dxa"/>
            <w:gridSpan w:val="2"/>
            <w:vMerge w:val="restart"/>
            <w:tcBorders>
              <w:top w:val="nil"/>
              <w:left w:val="nil"/>
              <w:right w:val="nil"/>
            </w:tcBorders>
            <w:noWrap w:val="0"/>
            <w:vAlign w:val="center"/>
          </w:tcPr>
          <w:p>
            <w:pPr>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w:t>
            </w:r>
          </w:p>
          <w:p>
            <w:pPr>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资金</w:t>
            </w:r>
          </w:p>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（万元）</w:t>
            </w:r>
          </w:p>
        </w:tc>
        <w:tc>
          <w:tcPr>
            <w:tcW w:w="1107"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71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47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40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05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93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CellMar>
            <w:top w:w="0" w:type="dxa"/>
            <w:left w:w="108" w:type="dxa"/>
            <w:bottom w:w="0" w:type="dxa"/>
            <w:right w:w="108" w:type="dxa"/>
          </w:tblCellMar>
        </w:tblPrEx>
        <w:trPr>
          <w:trHeight w:val="658"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079" w:type="dxa"/>
            <w:gridSpan w:val="2"/>
            <w:vMerge w:val="continue"/>
            <w:tcBorders>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107"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174.5</w:t>
            </w:r>
          </w:p>
        </w:tc>
        <w:tc>
          <w:tcPr>
            <w:tcW w:w="171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47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249.56</w:t>
            </w:r>
          </w:p>
        </w:tc>
        <w:tc>
          <w:tcPr>
            <w:tcW w:w="1405" w:type="dxa"/>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1059" w:type="dxa"/>
            <w:gridSpan w:val="2"/>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934" w:type="dxa"/>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2186"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187"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全年（调整）绩效目标</w:t>
            </w:r>
          </w:p>
        </w:tc>
        <w:tc>
          <w:tcPr>
            <w:tcW w:w="3398"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2186"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一是保障人员工资福利支出，确保工作正常运转，正好的发挥行政职能，履行行政职责；二是助力乡村振兴，开展“万企兴万村”行动，积极组织动员广大非公有制经济人士投身乡村振兴工作；三是开展民营企业调查点工作，每季度按时完成民营企业运行状态调查，每年开展“上规模民营企业调研”、“民营企业社会责任调研”、“营商环境调研”等；四是加强我县基层商会组建力度，扩大商会组织的覆盖范围，不断加强基层商会的规范化建设性；五是加强对商会组织、会员企业的联系指导，建立工商联驻会领导联系基层商会，执委小组制度，健全机关领导干部与非公经济代表人士谈心交心制度，加强对民营经济人士的政治思想引领。六是服务民营经济发展，落实非公有制经济工作联席会议，协调解决企业困难问题。</w:t>
            </w:r>
          </w:p>
        </w:tc>
        <w:tc>
          <w:tcPr>
            <w:tcW w:w="3187"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3398"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是保障人员工资福利支出，确保工作正常运转，正好的发挥行政职能，履行行政职责；二是助力乡村振兴，开展“万企兴万村”行动，积极组织动员广大非公有制经济人士投身乡村振兴工作；三是开展民营企业调查点工作，每季度按时完成民营企业运行状态调查，每年开展“上规模民营企业调研”、“民营企业社会责任调研”、“营商环境调研”等；四是加强我县基层商会组建力度，扩大商会组织的覆盖范围，不断加强基层商会的规范化建设性；五是加强对商会组织、会员企业的联系指导，建立工商联驻会领导联系基层商会，执委小组制度，健全机关领导干部与非公经济代表人士谈心交心制度，加强对民营经济人士的政治思想引领。六是服务民营经济发展，落实非公有制经济工作联席会议，协调解决企业困难问题。</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32" w:type="dxa"/>
            <w:tcBorders>
              <w:top w:val="nil"/>
              <w:left w:val="nil"/>
              <w:bottom w:val="single" w:color="auto" w:sz="4" w:space="0"/>
              <w:right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705"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4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7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799"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29"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496"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968"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9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是否核心</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32" w:type="dxa"/>
            <w:tcBorders>
              <w:top w:val="nil"/>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服务对象满意度</w:t>
            </w:r>
          </w:p>
        </w:tc>
        <w:tc>
          <w:tcPr>
            <w:tcW w:w="705"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color w:val="000000"/>
                <w:kern w:val="0"/>
                <w:sz w:val="24"/>
                <w:szCs w:val="24"/>
              </w:rPr>
              <w:t>≧</w:t>
            </w:r>
          </w:p>
        </w:tc>
        <w:tc>
          <w:tcPr>
            <w:tcW w:w="706" w:type="dxa"/>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bidi="ar-SA"/>
              </w:rPr>
            </w:pPr>
            <w:r>
              <w:rPr>
                <w:rFonts w:hint="eastAsia" w:ascii="Times New Roman" w:hAnsi="Times New Roman" w:eastAsia="方正仿宋_GBK" w:cs="宋体"/>
                <w:color w:val="000000"/>
                <w:kern w:val="0"/>
                <w:sz w:val="24"/>
                <w:szCs w:val="24"/>
                <w:lang w:val="en-US" w:eastAsia="zh-CN"/>
              </w:rPr>
              <w:t>95%</w:t>
            </w:r>
          </w:p>
        </w:tc>
        <w:tc>
          <w:tcPr>
            <w:tcW w:w="753"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bidi="ar-SA"/>
              </w:rPr>
            </w:pPr>
          </w:p>
        </w:tc>
        <w:tc>
          <w:tcPr>
            <w:tcW w:w="799"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95%</w:t>
            </w:r>
          </w:p>
        </w:tc>
        <w:tc>
          <w:tcPr>
            <w:tcW w:w="929" w:type="dxa"/>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496"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968" w:type="dxa"/>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93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CellMar>
            <w:top w:w="0" w:type="dxa"/>
            <w:left w:w="108" w:type="dxa"/>
            <w:bottom w:w="0" w:type="dxa"/>
            <w:right w:w="108" w:type="dxa"/>
          </w:tblCellMar>
        </w:tblPrEx>
        <w:trPr>
          <w:trHeight w:val="415" w:hRule="atLeast"/>
        </w:trPr>
        <w:tc>
          <w:tcPr>
            <w:tcW w:w="95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8771" w:type="dxa"/>
            <w:gridSpan w:val="16"/>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lang w:val="en-US" w:eastAsia="zh-CN"/>
        </w:rPr>
        <w:t>无项目参加绩效自评。</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eastAsia="zh-CN"/>
        </w:rPr>
        <w:t>交纳</w:t>
      </w:r>
      <w:r>
        <w:rPr>
          <w:rFonts w:ascii="方正仿宋_GBK" w:hAnsi="方正仿宋_GBK" w:eastAsia="方正仿宋_GBK" w:cs="方正仿宋_GBK"/>
          <w:sz w:val="32"/>
          <w:szCs w:val="32"/>
          <w:shd w:val="clear" w:color="auto" w:fill="FFFFFF"/>
        </w:rPr>
        <w:t>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sz w:val="32"/>
          <w:szCs w:val="32"/>
          <w:shd w:val="clear" w:color="auto" w:fill="FFFFFF"/>
          <w:lang w:eastAsia="zh-CN"/>
        </w:rPr>
        <w:t>交纳</w:t>
      </w:r>
      <w:r>
        <w:rPr>
          <w:rFonts w:ascii="方正仿宋_GBK" w:hAnsi="方正仿宋_GBK" w:eastAsia="方正仿宋_GBK" w:cs="方正仿宋_GBK"/>
          <w:sz w:val="32"/>
          <w:szCs w:val="32"/>
          <w:shd w:val="clear" w:color="auto" w:fill="FFFFFF"/>
        </w:rPr>
        <w:t>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ascii="黑体" w:hAnsi="黑体" w:eastAsia="黑体" w:cs="黑体"/>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hd w:val="clear" w:color="auto" w:fill="FFFFFF"/>
        <w:rPr>
          <w:rStyle w:val="10"/>
          <w:rFonts w:hint="default" w:ascii="黑体" w:hAnsi="黑体" w:eastAsia="黑体" w:cs="黑体"/>
          <w:sz w:val="32"/>
          <w:szCs w:val="32"/>
          <w:shd w:val="clear" w:color="auto" w:fill="FFFFFF"/>
        </w:rPr>
      </w:pP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85822008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4" w:type="pct"/>
        <w:tblInd w:w="0" w:type="dxa"/>
        <w:tblLayout w:type="autofit"/>
        <w:tblCellMar>
          <w:top w:w="0" w:type="dxa"/>
          <w:left w:w="0" w:type="dxa"/>
          <w:bottom w:w="0" w:type="dxa"/>
          <w:right w:w="0" w:type="dxa"/>
        </w:tblCellMar>
      </w:tblPr>
      <w:tblGrid>
        <w:gridCol w:w="5103"/>
        <w:gridCol w:w="2012"/>
        <w:gridCol w:w="4787"/>
        <w:gridCol w:w="343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重庆市忠县工商业联合会</w:t>
            </w:r>
          </w:p>
        </w:tc>
        <w:tc>
          <w:tcPr>
            <w:tcW w:w="15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olor w:val="000000"/>
                <w:sz w:val="20"/>
                <w:u w:color="auto"/>
                <w:lang w:val="en-US" w:eastAsia="zh-CN"/>
              </w:rPr>
              <w:t>249.56</w:t>
            </w: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188.31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1561"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r>
    </w:tbl>
    <w:p>
      <w:pPr>
        <w:spacing w:line="240" w:lineRule="exact"/>
        <w:rPr>
          <w:rFonts w:hint="default" w:cs="宋体"/>
          <w:sz w:val="20"/>
          <w:szCs w:val="20"/>
        </w:rPr>
      </w:pPr>
      <w:r>
        <w:rPr>
          <w:rFonts w:cs="宋体"/>
          <w:sz w:val="20"/>
          <w:szCs w:val="20"/>
        </w:rPr>
        <w:t>备注：本表反映部门本年度的总收支和年末结转结余情况。本部门无相关数据，故本表为空。</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重庆市忠县工商业联合会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249.56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249.56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ind w:left="600" w:hanging="600" w:hangingChars="300"/>
        <w:rPr>
          <w:rFonts w:hint="default" w:cs="宋体"/>
          <w:sz w:val="20"/>
          <w:szCs w:val="20"/>
        </w:rPr>
      </w:pPr>
      <w:r>
        <w:rPr>
          <w:rFonts w:cs="宋体"/>
          <w:sz w:val="20"/>
          <w:szCs w:val="20"/>
        </w:rPr>
        <w:t>备注：本表反映部门本年度取得的各项收入情况。本部门无相关数据，故本表为空。</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2"/>
        <w:gridCol w:w="3343"/>
        <w:gridCol w:w="1695"/>
        <w:gridCol w:w="1695"/>
        <w:gridCol w:w="1695"/>
        <w:gridCol w:w="1676"/>
        <w:gridCol w:w="1676"/>
        <w:gridCol w:w="175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2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重庆市忠县工商业联合会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2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5"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249.56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196.37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53.19</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0"/>
          <w:szCs w:val="20"/>
        </w:rPr>
      </w:pPr>
      <w:r>
        <w:rPr>
          <w:rFonts w:cs="宋体"/>
          <w:sz w:val="20"/>
          <w:szCs w:val="20"/>
        </w:rPr>
        <w:t>备注：本表反映部门本年度各项支出情况。本部门无相关数据，故本表为空。</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89" w:type="pct"/>
        <w:tblInd w:w="0" w:type="dxa"/>
        <w:tblLayout w:type="autofit"/>
        <w:tblCellMar>
          <w:top w:w="0" w:type="dxa"/>
          <w:left w:w="0" w:type="dxa"/>
          <w:bottom w:w="0" w:type="dxa"/>
          <w:right w:w="0" w:type="dxa"/>
        </w:tblCellMar>
      </w:tblPr>
      <w:tblGrid>
        <w:gridCol w:w="2964"/>
        <w:gridCol w:w="1520"/>
        <w:gridCol w:w="3179"/>
        <w:gridCol w:w="1693"/>
        <w:gridCol w:w="1693"/>
        <w:gridCol w:w="1694"/>
        <w:gridCol w:w="193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重庆市忠县工商业联合会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251"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备注：本表反映部门本年度一般公共预算财政拨款、政府性基金预算财政拨款及国有资本经营预算财政拨款的总收支和年末结转结余情况。本部门无相关数据，故本表为空。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3"/>
        <w:gridCol w:w="332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重庆市忠县工商业联合会</w:t>
            </w:r>
          </w:p>
        </w:tc>
        <w:tc>
          <w:tcPr>
            <w:tcW w:w="10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249.56</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196.37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53.19</w:t>
            </w:r>
          </w:p>
        </w:tc>
      </w:tr>
    </w:tbl>
    <w:p>
      <w:pPr>
        <w:rPr>
          <w:rFonts w:hint="default" w:cs="宋体"/>
          <w:sz w:val="21"/>
          <w:szCs w:val="21"/>
        </w:rPr>
      </w:pPr>
      <w:r>
        <w:rPr>
          <w:rFonts w:cs="宋体"/>
          <w:sz w:val="20"/>
          <w:szCs w:val="20"/>
        </w:rPr>
        <w:t>备注：本表反映部门本年度一般公共预算财政拨款支出情况。本部门无相关数据，故本表为空。</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重庆市忠县工商业联合会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155.74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24.14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20.77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55.6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15.91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6.76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3.23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13.06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4.89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16.49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15.47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5.64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hint="eastAsia"/>
                <w:color w:val="000000"/>
                <w:sz w:val="18"/>
                <w:u w:color="auto"/>
                <w:lang w:val="en-US" w:eastAsia="zh-CN"/>
              </w:rPr>
              <w:t>172.23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24.14</w:t>
            </w:r>
            <w:r>
              <w:rPr>
                <w:color w:val="000000"/>
                <w:sz w:val="18"/>
                <w:u w:color="auto"/>
              </w:rPr>
              <w:t xml:space="preserve"> </w:t>
            </w:r>
          </w:p>
        </w:tc>
      </w:tr>
    </w:tbl>
    <w:p>
      <w:pPr>
        <w:spacing w:line="280" w:lineRule="exact"/>
        <w:rPr>
          <w:rFonts w:hint="default" w:cs="宋体"/>
          <w:sz w:val="20"/>
          <w:szCs w:val="20"/>
        </w:rPr>
      </w:pPr>
      <w:r>
        <w:rPr>
          <w:rFonts w:cs="宋体"/>
          <w:sz w:val="20"/>
          <w:szCs w:val="20"/>
        </w:rPr>
        <w:t>备注：本表反映部门本年度一般公共预算财政拨款基本支出明细情况。本部门无相关数据，故本表为空。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重庆市忠县工商业联合会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重庆市忠县工商业联合会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重庆市忠县工商业联合会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24.14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24.14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320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8.11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4.06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备注：本表反映部门本年度财政拨款“三公”经费支出预决算情况。本部门无相关数据，故本表为空。</w:t>
      </w:r>
      <w:r>
        <w:rPr>
          <w:rFonts w:cs="宋体"/>
          <w:sz w:val="20"/>
          <w:szCs w:val="20"/>
        </w:rPr>
        <w:br w:type="textWrapping"/>
      </w:r>
      <w:r>
        <w:rPr>
          <w:rFonts w:cs="宋体"/>
          <w:sz w:val="20"/>
          <w:szCs w:val="20"/>
        </w:rPr>
        <w:br w:type="textWrapping"/>
      </w:r>
    </w:p>
    <w:bookmarkEnd w:id="0"/>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20"/>
  <w:drawingGridVerticalSpacing w:val="16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ZTM4YTEzNTQ5MGY3N2Y2ZWQ5ZGY0ZGRlYmYxZmMifQ=="/>
  </w:docVars>
  <w:rsids>
    <w:rsidRoot w:val="00B03CCD"/>
    <w:rsid w:val="000C01CC"/>
    <w:rsid w:val="000D7702"/>
    <w:rsid w:val="00261065"/>
    <w:rsid w:val="002D0E5A"/>
    <w:rsid w:val="002E5443"/>
    <w:rsid w:val="0032196C"/>
    <w:rsid w:val="00461F2F"/>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411FB9"/>
    <w:rsid w:val="03B87EA0"/>
    <w:rsid w:val="03E3214F"/>
    <w:rsid w:val="044C50BA"/>
    <w:rsid w:val="05BC6D49"/>
    <w:rsid w:val="06194FF1"/>
    <w:rsid w:val="06A2550B"/>
    <w:rsid w:val="06F80EE2"/>
    <w:rsid w:val="07001CCA"/>
    <w:rsid w:val="075678DB"/>
    <w:rsid w:val="078D44B8"/>
    <w:rsid w:val="079D7CC7"/>
    <w:rsid w:val="08051BCA"/>
    <w:rsid w:val="086C12F4"/>
    <w:rsid w:val="08BA052C"/>
    <w:rsid w:val="08DB07BA"/>
    <w:rsid w:val="0930069A"/>
    <w:rsid w:val="0969353F"/>
    <w:rsid w:val="098305D0"/>
    <w:rsid w:val="098A0877"/>
    <w:rsid w:val="0A5C4B69"/>
    <w:rsid w:val="0A86124A"/>
    <w:rsid w:val="0AB54CC0"/>
    <w:rsid w:val="0B112BB9"/>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A8671D"/>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3C00C4"/>
    <w:rsid w:val="22403BD3"/>
    <w:rsid w:val="23DA37D9"/>
    <w:rsid w:val="243D0944"/>
    <w:rsid w:val="24B92327"/>
    <w:rsid w:val="24C14514"/>
    <w:rsid w:val="2533755C"/>
    <w:rsid w:val="25791755"/>
    <w:rsid w:val="26396DF4"/>
    <w:rsid w:val="27167136"/>
    <w:rsid w:val="27B23302"/>
    <w:rsid w:val="28BD7036"/>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382864"/>
    <w:rsid w:val="315F0B22"/>
    <w:rsid w:val="319D022C"/>
    <w:rsid w:val="31C90022"/>
    <w:rsid w:val="31D84415"/>
    <w:rsid w:val="32085CE0"/>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9F22EE"/>
    <w:rsid w:val="3FCD675E"/>
    <w:rsid w:val="4004000C"/>
    <w:rsid w:val="411B6CE5"/>
    <w:rsid w:val="412070D7"/>
    <w:rsid w:val="41314E40"/>
    <w:rsid w:val="41E0734B"/>
    <w:rsid w:val="426554D0"/>
    <w:rsid w:val="426C1EA8"/>
    <w:rsid w:val="42736402"/>
    <w:rsid w:val="42E86A87"/>
    <w:rsid w:val="43307B09"/>
    <w:rsid w:val="436A6407"/>
    <w:rsid w:val="438D0E97"/>
    <w:rsid w:val="43BB152F"/>
    <w:rsid w:val="44C37687"/>
    <w:rsid w:val="45CB699A"/>
    <w:rsid w:val="465B470D"/>
    <w:rsid w:val="469D6AD4"/>
    <w:rsid w:val="471E6C84"/>
    <w:rsid w:val="4748792B"/>
    <w:rsid w:val="475D719D"/>
    <w:rsid w:val="47674801"/>
    <w:rsid w:val="48210C25"/>
    <w:rsid w:val="48225EF7"/>
    <w:rsid w:val="488F422B"/>
    <w:rsid w:val="48E36915"/>
    <w:rsid w:val="495C4A24"/>
    <w:rsid w:val="497135DF"/>
    <w:rsid w:val="4A263DF2"/>
    <w:rsid w:val="4A6F6675"/>
    <w:rsid w:val="4B0502DF"/>
    <w:rsid w:val="4B135857"/>
    <w:rsid w:val="4B7951CB"/>
    <w:rsid w:val="4B7C315C"/>
    <w:rsid w:val="4BD8660A"/>
    <w:rsid w:val="4DAC4ACA"/>
    <w:rsid w:val="4DBE01D2"/>
    <w:rsid w:val="4EAD4A8B"/>
    <w:rsid w:val="4EFC6D10"/>
    <w:rsid w:val="4F0C6BA3"/>
    <w:rsid w:val="4F10477D"/>
    <w:rsid w:val="4F186D58"/>
    <w:rsid w:val="4FEA65B7"/>
    <w:rsid w:val="50F06B6E"/>
    <w:rsid w:val="52234D33"/>
    <w:rsid w:val="522F6E0C"/>
    <w:rsid w:val="52463BA1"/>
    <w:rsid w:val="52B84F26"/>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415ABF"/>
    <w:rsid w:val="64571EF5"/>
    <w:rsid w:val="64FB113D"/>
    <w:rsid w:val="656152C6"/>
    <w:rsid w:val="6587477F"/>
    <w:rsid w:val="658C3A08"/>
    <w:rsid w:val="65C031CA"/>
    <w:rsid w:val="65CE6852"/>
    <w:rsid w:val="66267C04"/>
    <w:rsid w:val="663F505A"/>
    <w:rsid w:val="66967186"/>
    <w:rsid w:val="66EE5541"/>
    <w:rsid w:val="6731512F"/>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0120A"/>
    <w:rsid w:val="6EFD1324"/>
    <w:rsid w:val="6F5A53AC"/>
    <w:rsid w:val="6FAC003D"/>
    <w:rsid w:val="6FE55E12"/>
    <w:rsid w:val="6FFB2E76"/>
    <w:rsid w:val="708F6F7F"/>
    <w:rsid w:val="70D94BD3"/>
    <w:rsid w:val="71A83D3E"/>
    <w:rsid w:val="71C34D91"/>
    <w:rsid w:val="72DB435C"/>
    <w:rsid w:val="72E2613A"/>
    <w:rsid w:val="72F25079"/>
    <w:rsid w:val="72F771F4"/>
    <w:rsid w:val="736650B0"/>
    <w:rsid w:val="73934AD2"/>
    <w:rsid w:val="750837F0"/>
    <w:rsid w:val="754758CF"/>
    <w:rsid w:val="764F62AB"/>
    <w:rsid w:val="765C45EC"/>
    <w:rsid w:val="768A7619"/>
    <w:rsid w:val="772E1EBA"/>
    <w:rsid w:val="77EB79F7"/>
    <w:rsid w:val="796D60A4"/>
    <w:rsid w:val="798D4602"/>
    <w:rsid w:val="79A031D5"/>
    <w:rsid w:val="7A1525F7"/>
    <w:rsid w:val="7B420052"/>
    <w:rsid w:val="7B861484"/>
    <w:rsid w:val="7BD06A28"/>
    <w:rsid w:val="7C3A7C0B"/>
    <w:rsid w:val="7C5248E4"/>
    <w:rsid w:val="7C566698"/>
    <w:rsid w:val="7C5866A3"/>
    <w:rsid w:val="7D7406BB"/>
    <w:rsid w:val="7DE94331"/>
    <w:rsid w:val="7EC30AC6"/>
    <w:rsid w:val="7F446A19"/>
    <w:rsid w:val="7F7452B9"/>
    <w:rsid w:val="FF3F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4</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2024-10-25T10:17:46Z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8082B4B62A664ED2842A5546D2F64420_13</vt:lpwstr>
  </property>
</Properties>
</file>