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Style w:val="11"/>
          <w:rFonts w:hint="default" w:ascii="Times New Roman" w:hAnsi="Times New Roman" w:eastAsia="方正仿宋_GBK" w:cs="Times New Roman"/>
          <w:color w:val="auto"/>
          <w:sz w:val="32"/>
          <w:szCs w:val="32"/>
          <w:shd w:val="clear" w:color="auto" w:fill="FFFFFF"/>
        </w:rPr>
      </w:pPr>
      <w:r>
        <w:rPr>
          <w:rFonts w:hint="eastAsia" w:ascii="方正小标宋_GBK" w:hAnsi="方正小标宋_GBK" w:eastAsia="方正小标宋_GBK" w:cs="方正小标宋_GBK"/>
          <w:color w:val="auto"/>
          <w:sz w:val="44"/>
          <w:szCs w:val="44"/>
        </w:rPr>
        <w:t>重庆市忠县人民代表大会常务委员会办公室</w:t>
      </w:r>
      <w:r>
        <w:rPr>
          <w:rFonts w:hint="eastAsia" w:ascii="方正小标宋_GBK" w:hAnsi="方正小标宋_GBK" w:eastAsia="方正小标宋_GBK" w:cs="方正小标宋_GBK"/>
          <w:color w:val="auto"/>
          <w:sz w:val="44"/>
          <w:szCs w:val="44"/>
          <w:shd w:val="clear" w:color="auto" w:fill="FFFFFF"/>
        </w:rPr>
        <w:t>2023年度决算公开说明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left"/>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一、部门基本情况</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方正楷体_GBK" w:hAnsi="方正楷体_GBK" w:eastAsia="方正楷体_GBK" w:cs="方正楷体_GBK"/>
          <w:b w:val="0"/>
          <w:bCs/>
          <w:color w:val="auto"/>
          <w:sz w:val="32"/>
          <w:szCs w:val="32"/>
        </w:rPr>
      </w:pPr>
      <w:r>
        <w:rPr>
          <w:rStyle w:val="11"/>
          <w:rFonts w:hint="eastAsia" w:ascii="方正楷体_GBK" w:hAnsi="方正楷体_GBK" w:eastAsia="方正楷体_GBK" w:cs="方正楷体_GBK"/>
          <w:b w:val="0"/>
          <w:bCs/>
          <w:color w:val="auto"/>
          <w:sz w:val="32"/>
          <w:szCs w:val="32"/>
          <w:shd w:val="clear" w:color="auto" w:fill="FFFFFF"/>
        </w:rPr>
        <w:t>（一）职能职责</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firstLine="640" w:firstLineChars="200"/>
        <w:jc w:val="left"/>
        <w:textAlignment w:val="auto"/>
        <w:rPr>
          <w:rFonts w:hint="default" w:ascii="Times New Roman" w:hAnsi="Times New Roman" w:eastAsia="方正仿宋_GBK" w:cs="Times New Roman"/>
          <w:color w:val="auto"/>
          <w:kern w:val="0"/>
          <w:sz w:val="32"/>
          <w:szCs w:val="32"/>
          <w:shd w:val="clear" w:fill="FFFFFF"/>
        </w:rPr>
      </w:pPr>
      <w:r>
        <w:rPr>
          <w:rFonts w:hint="default" w:ascii="Times New Roman" w:hAnsi="Times New Roman" w:eastAsia="方正仿宋_GBK" w:cs="Times New Roman"/>
          <w:color w:val="auto"/>
          <w:kern w:val="0"/>
          <w:sz w:val="32"/>
          <w:szCs w:val="32"/>
          <w:shd w:val="clear" w:fill="FFFFFF"/>
        </w:rPr>
        <w:t>县人大常委会办公室的主要职能是为县人民代表大会及其常务委员会依法履职提供服务；为人大机关正常运转提供服务。</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承担县人民代表大会会议、常委会会议、主任会议及党组会议等有关会议的筹备和服务工作；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xml:space="preserve"> </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负责常委会综合性文稿的起草、审核、打印、分发；办好《</w:t>
      </w:r>
      <w:r>
        <w:rPr>
          <w:rFonts w:hint="eastAsia" w:ascii="Times New Roman" w:hAnsi="Times New Roman" w:eastAsia="方正仿宋_GBK" w:cs="Times New Roman"/>
          <w:color w:val="auto"/>
          <w:sz w:val="32"/>
          <w:szCs w:val="32"/>
          <w:shd w:val="clear" w:color="auto" w:fill="FFFFFF"/>
          <w:lang w:eastAsia="zh-CN"/>
        </w:rPr>
        <w:t>常委会</w:t>
      </w:r>
      <w:r>
        <w:rPr>
          <w:rFonts w:hint="default" w:ascii="Times New Roman" w:hAnsi="Times New Roman" w:eastAsia="方正仿宋_GBK" w:cs="Times New Roman"/>
          <w:color w:val="auto"/>
          <w:sz w:val="32"/>
          <w:szCs w:val="32"/>
          <w:shd w:val="clear" w:color="auto" w:fill="FFFFFF"/>
        </w:rPr>
        <w:t>公报》；做好机关公文的收发、传阅、立卷、归档和保密工作；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负责县人大常委会开展视察、执法检查的组织协调工作</w:t>
      </w:r>
      <w:r>
        <w:rPr>
          <w:rFonts w:hint="default" w:ascii="Times New Roman" w:hAnsi="Times New Roman" w:eastAsia="方正仿宋_GBK" w:cs="Times New Roman"/>
          <w:color w:val="auto"/>
          <w:sz w:val="32"/>
          <w:szCs w:val="32"/>
          <w:shd w:val="clear" w:color="auto" w:fill="FFFFFF"/>
          <w:lang w:eastAsia="zh-CN"/>
        </w:rPr>
        <w:t>；</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负责接待和办理人民群众的来信、来访工作；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负责规范性文件的接收、登记、移送、统计与存档，以及向市人大常委会报送备案规范性文件；</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负责人大制度和人大工作的宣传及理论研究工作；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7.</w:t>
      </w:r>
      <w:r>
        <w:rPr>
          <w:rFonts w:hint="default" w:ascii="Times New Roman" w:hAnsi="Times New Roman" w:eastAsia="方正仿宋_GBK" w:cs="Times New Roman"/>
          <w:color w:val="auto"/>
          <w:sz w:val="32"/>
          <w:szCs w:val="32"/>
          <w:shd w:val="clear" w:color="auto" w:fill="FFFFFF"/>
        </w:rPr>
        <w:t>负责承担换届选举办公室的日常事务工作；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8.</w:t>
      </w:r>
      <w:r>
        <w:rPr>
          <w:rFonts w:hint="default" w:ascii="Times New Roman" w:hAnsi="Times New Roman" w:eastAsia="方正仿宋_GBK" w:cs="Times New Roman"/>
          <w:color w:val="auto"/>
          <w:sz w:val="32"/>
          <w:szCs w:val="32"/>
          <w:shd w:val="clear" w:color="auto" w:fill="FFFFFF"/>
        </w:rPr>
        <w:t>负责机关的人事管理、离退休人员的管理和服务工作；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9.</w:t>
      </w:r>
      <w:r>
        <w:rPr>
          <w:rFonts w:hint="default" w:ascii="Times New Roman" w:hAnsi="Times New Roman" w:eastAsia="方正仿宋_GBK" w:cs="Times New Roman"/>
          <w:color w:val="auto"/>
          <w:sz w:val="32"/>
          <w:szCs w:val="32"/>
          <w:shd w:val="clear" w:color="auto" w:fill="FFFFFF"/>
        </w:rPr>
        <w:t>负责机关党务、工会、政治法律学习的组织工作和目标管理工作；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10.</w:t>
      </w:r>
      <w:r>
        <w:rPr>
          <w:rFonts w:hint="default" w:ascii="Times New Roman" w:hAnsi="Times New Roman" w:eastAsia="方正仿宋_GBK" w:cs="Times New Roman"/>
          <w:color w:val="auto"/>
          <w:sz w:val="32"/>
          <w:szCs w:val="32"/>
          <w:shd w:val="clear" w:color="auto" w:fill="FFFFFF"/>
        </w:rPr>
        <w:t>负责机关后勤管理，承担机关财务、房屋维修、资产管理和车辆调度管理工作；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11.</w:t>
      </w:r>
      <w:r>
        <w:rPr>
          <w:rFonts w:hint="default" w:ascii="Times New Roman" w:hAnsi="Times New Roman" w:eastAsia="方正仿宋_GBK" w:cs="Times New Roman"/>
          <w:color w:val="auto"/>
          <w:sz w:val="32"/>
          <w:szCs w:val="32"/>
          <w:shd w:val="clear" w:color="auto" w:fill="FFFFFF"/>
        </w:rPr>
        <w:t>负责与市人大，县委办、县政府办、县政协办及县级部门的联系、协调和对外联系接待工作；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12.</w:t>
      </w:r>
      <w:r>
        <w:rPr>
          <w:rFonts w:hint="default" w:ascii="Times New Roman" w:hAnsi="Times New Roman" w:eastAsia="方正仿宋_GBK" w:cs="Times New Roman"/>
          <w:color w:val="auto"/>
          <w:sz w:val="32"/>
          <w:szCs w:val="32"/>
          <w:shd w:val="clear" w:color="auto" w:fill="FFFFFF"/>
        </w:rPr>
        <w:t>办理领导交办的其他工作。</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（二）机构设置</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kern w:val="0"/>
          <w:sz w:val="32"/>
          <w:szCs w:val="32"/>
          <w:shd w:val="clear" w:fill="FFFFFF"/>
        </w:rPr>
      </w:pPr>
      <w:r>
        <w:rPr>
          <w:rFonts w:hint="default" w:ascii="Times New Roman" w:hAnsi="Times New Roman" w:eastAsia="方正仿宋_GBK" w:cs="Times New Roman"/>
          <w:color w:val="auto"/>
          <w:kern w:val="0"/>
          <w:sz w:val="32"/>
          <w:szCs w:val="32"/>
          <w:shd w:val="clear" w:fill="FFFFFF"/>
        </w:rPr>
        <w:t>县人大常委会办公室目前有行政编制32个，事业编制7个，工勤编制3个，实有行政人员</w:t>
      </w:r>
      <w:r>
        <w:rPr>
          <w:rFonts w:hint="default" w:ascii="Times New Roman" w:hAnsi="Times New Roman" w:eastAsia="方正仿宋_GBK" w:cs="Times New Roman"/>
          <w:color w:val="auto"/>
          <w:kern w:val="0"/>
          <w:sz w:val="32"/>
          <w:szCs w:val="32"/>
          <w:shd w:val="clear" w:fill="FFFFFF"/>
          <w:lang w:val="en-US" w:eastAsia="zh-CN"/>
        </w:rPr>
        <w:t>32</w:t>
      </w:r>
      <w:r>
        <w:rPr>
          <w:rFonts w:hint="default" w:ascii="Times New Roman" w:hAnsi="Times New Roman" w:eastAsia="方正仿宋_GBK" w:cs="Times New Roman"/>
          <w:color w:val="auto"/>
          <w:kern w:val="0"/>
          <w:sz w:val="32"/>
          <w:szCs w:val="32"/>
          <w:shd w:val="clear" w:fill="FFFFFF"/>
        </w:rPr>
        <w:t>人，事业人员</w:t>
      </w:r>
      <w:r>
        <w:rPr>
          <w:rFonts w:hint="default" w:ascii="Times New Roman" w:hAnsi="Times New Roman" w:eastAsia="方正仿宋_GBK" w:cs="Times New Roman"/>
          <w:color w:val="auto"/>
          <w:kern w:val="0"/>
          <w:sz w:val="32"/>
          <w:szCs w:val="32"/>
          <w:shd w:val="clear" w:fill="FFFFFF"/>
          <w:lang w:val="en-US" w:eastAsia="zh-CN"/>
        </w:rPr>
        <w:t>7</w:t>
      </w:r>
      <w:r>
        <w:rPr>
          <w:rFonts w:hint="default" w:ascii="Times New Roman" w:hAnsi="Times New Roman" w:eastAsia="方正仿宋_GBK" w:cs="Times New Roman"/>
          <w:color w:val="auto"/>
          <w:kern w:val="0"/>
          <w:sz w:val="32"/>
          <w:szCs w:val="32"/>
          <w:shd w:val="clear" w:fill="FFFFFF"/>
        </w:rPr>
        <w:t>人，工勤人员3人；其中行政人员中：</w:t>
      </w:r>
      <w:r>
        <w:rPr>
          <w:rFonts w:hint="default" w:ascii="Times New Roman" w:hAnsi="Times New Roman" w:eastAsia="方正仿宋_GBK" w:cs="Times New Roman"/>
          <w:color w:val="auto"/>
          <w:sz w:val="32"/>
          <w:szCs w:val="32"/>
          <w:shd w:val="clear" w:color="auto" w:fill="FFFFFF"/>
          <w:lang w:val="en-US" w:eastAsia="zh-CN" w:bidi="ar-SA"/>
        </w:rPr>
        <w:t>副厅级1人、正处级6人、副处级13人、正科级7人、副科级3人、科员2人；</w:t>
      </w:r>
      <w:r>
        <w:rPr>
          <w:rFonts w:hint="default" w:ascii="Times New Roman" w:hAnsi="Times New Roman" w:eastAsia="方正仿宋_GBK" w:cs="Times New Roman"/>
          <w:color w:val="auto"/>
          <w:kern w:val="0"/>
          <w:sz w:val="32"/>
          <w:szCs w:val="32"/>
          <w:shd w:val="clear" w:fill="FFFFFF"/>
        </w:rPr>
        <w:t>事业人员中：</w:t>
      </w:r>
      <w:r>
        <w:rPr>
          <w:rFonts w:hint="default" w:ascii="Times New Roman" w:hAnsi="Times New Roman" w:eastAsia="方正仿宋_GBK" w:cs="Times New Roman"/>
          <w:color w:val="auto"/>
          <w:sz w:val="32"/>
          <w:szCs w:val="32"/>
          <w:shd w:val="clear" w:color="auto" w:fill="FFFFFF"/>
          <w:lang w:val="en-US" w:eastAsia="zh-CN" w:bidi="ar-SA"/>
        </w:rPr>
        <w:t>七级职员1名，八级职员2名，九级职员4名</w:t>
      </w:r>
      <w:r>
        <w:rPr>
          <w:rFonts w:hint="default" w:ascii="Times New Roman" w:hAnsi="Times New Roman" w:eastAsia="方正仿宋_GBK" w:cs="Times New Roman"/>
          <w:color w:val="auto"/>
          <w:kern w:val="0"/>
          <w:sz w:val="32"/>
          <w:szCs w:val="32"/>
          <w:shd w:val="clear" w:fill="FFFFFF"/>
        </w:rPr>
        <w:t>；工勤人员中：技师</w:t>
      </w:r>
      <w:r>
        <w:rPr>
          <w:rFonts w:hint="default" w:ascii="Times New Roman" w:hAnsi="Times New Roman" w:eastAsia="方正仿宋_GBK" w:cs="Times New Roman"/>
          <w:color w:val="auto"/>
          <w:kern w:val="0"/>
          <w:sz w:val="32"/>
          <w:szCs w:val="32"/>
          <w:shd w:val="clear" w:fill="FFFFFF"/>
          <w:lang w:val="en-US" w:eastAsia="zh-CN"/>
        </w:rPr>
        <w:t>3</w:t>
      </w:r>
      <w:r>
        <w:rPr>
          <w:rFonts w:hint="default" w:ascii="Times New Roman" w:hAnsi="Times New Roman" w:eastAsia="方正仿宋_GBK" w:cs="Times New Roman"/>
          <w:color w:val="auto"/>
          <w:kern w:val="0"/>
          <w:sz w:val="32"/>
          <w:szCs w:val="32"/>
          <w:shd w:val="clear" w:fill="FFFFFF"/>
        </w:rPr>
        <w:t>人。</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left"/>
        <w:textAlignment w:val="auto"/>
        <w:rPr>
          <w:rStyle w:val="11"/>
          <w:rFonts w:hint="default" w:ascii="方正黑体_GBK" w:hAnsi="方正黑体_GBK" w:eastAsia="方正黑体_GBK" w:cs="方正黑体_GBK"/>
          <w:b w:val="0"/>
          <w:bCs/>
          <w:color w:val="auto"/>
          <w:sz w:val="32"/>
          <w:szCs w:val="32"/>
          <w:shd w:val="clear" w:color="auto" w:fill="FFFFFF"/>
        </w:rPr>
      </w:pPr>
      <w:r>
        <w:rPr>
          <w:rStyle w:val="11"/>
          <w:rFonts w:hint="default" w:ascii="方正黑体_GBK" w:hAnsi="方正黑体_GBK" w:eastAsia="方正黑体_GBK" w:cs="方正黑体_GBK"/>
          <w:b w:val="0"/>
          <w:bCs/>
          <w:color w:val="auto"/>
          <w:sz w:val="32"/>
          <w:szCs w:val="32"/>
          <w:shd w:val="clear" w:color="auto" w:fill="FFFFFF"/>
        </w:rPr>
        <w:t>二、部门决算情况说明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（一）收入支出决算总体情况说明。</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Style w:val="11"/>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rPr>
        <w:t>2023年度收入总计1792.28万元，支出总计</w:t>
      </w:r>
      <w:r>
        <w:rPr>
          <w:rFonts w:hint="default" w:ascii="Times New Roman" w:hAnsi="Times New Roman" w:eastAsia="方正仿宋_GBK" w:cs="Times New Roman"/>
          <w:color w:val="auto"/>
          <w:sz w:val="32"/>
          <w:szCs w:val="32"/>
        </w:rPr>
        <w:t>1792.28</w:t>
      </w:r>
      <w:r>
        <w:rPr>
          <w:rFonts w:hint="default" w:ascii="Times New Roman" w:hAnsi="Times New Roman" w:eastAsia="方正仿宋_GBK" w:cs="Times New Roman"/>
          <w:color w:val="auto"/>
          <w:sz w:val="32"/>
          <w:szCs w:val="32"/>
          <w:shd w:val="clear" w:color="auto" w:fill="FFFFFF"/>
        </w:rPr>
        <w:t>万元。收支较上年决算数增加229.90万元，增长14.71%，主要原因是</w:t>
      </w:r>
      <w:r>
        <w:rPr>
          <w:rFonts w:hint="default" w:ascii="Times New Roman" w:hAnsi="Times New Roman" w:eastAsia="方正仿宋_GBK" w:cs="Times New Roman"/>
          <w:color w:val="auto"/>
          <w:sz w:val="32"/>
          <w:szCs w:val="32"/>
          <w:shd w:val="clear" w:color="auto" w:fill="FFFFFF"/>
          <w:lang w:val="en-US" w:eastAsia="zh-CN" w:bidi="ar-SA"/>
        </w:rPr>
        <w:t>2023年年中加开了一次人代会增加了开支；2023年部门整体调入人员多于调出人员，人员经费增加。</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2023年度收入合计1792.28万元，较上年决算数增加229.90万元，增长14.71%，主要原因是</w:t>
      </w:r>
      <w:r>
        <w:rPr>
          <w:rFonts w:hint="default" w:ascii="Times New Roman" w:hAnsi="Times New Roman" w:eastAsia="方正仿宋_GBK" w:cs="Times New Roman"/>
          <w:color w:val="auto"/>
          <w:sz w:val="32"/>
          <w:szCs w:val="32"/>
          <w:shd w:val="clear" w:color="auto" w:fill="FFFFFF"/>
          <w:lang w:val="en-US" w:eastAsia="zh-CN" w:bidi="ar-SA"/>
        </w:rPr>
        <w:t>2023年年中加开了一次人代会增加了开支；2023年部门整体调入人员多于调出人员，人员经费增加。</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1792.28</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1792.28</w:t>
      </w:r>
      <w:r>
        <w:rPr>
          <w:rFonts w:hint="default" w:ascii="Times New Roman" w:hAnsi="Times New Roman" w:eastAsia="方正仿宋_GBK" w:cs="Times New Roman"/>
          <w:color w:val="auto"/>
          <w:sz w:val="32"/>
          <w:szCs w:val="32"/>
          <w:shd w:val="clear" w:color="auto" w:fill="FFFFFF"/>
        </w:rPr>
        <w:t>万元，较上年决算数增加229.90万元，增长14.71%，主要原因是</w:t>
      </w:r>
      <w:r>
        <w:rPr>
          <w:rFonts w:hint="default" w:ascii="Times New Roman" w:hAnsi="Times New Roman" w:eastAsia="方正仿宋_GBK" w:cs="Times New Roman"/>
          <w:color w:val="auto"/>
          <w:sz w:val="32"/>
          <w:szCs w:val="32"/>
          <w:shd w:val="clear" w:color="auto" w:fill="FFFFFF"/>
          <w:lang w:val="en-US" w:eastAsia="zh-CN" w:bidi="ar-SA"/>
        </w:rPr>
        <w:t>2023年年中加开了一次人代会增加了开支；2023年部门整体调入人员多于调出人员，人员经费增加。</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1352.92</w:t>
      </w:r>
      <w:r>
        <w:rPr>
          <w:rFonts w:hint="default" w:ascii="Times New Roman" w:hAnsi="Times New Roman" w:eastAsia="方正仿宋_GBK" w:cs="Times New Roman"/>
          <w:color w:val="auto"/>
          <w:sz w:val="32"/>
          <w:szCs w:val="32"/>
          <w:shd w:val="clear" w:color="auto" w:fill="FFFFFF"/>
        </w:rPr>
        <w:t>万元，占75.49%；项目支出</w:t>
      </w:r>
      <w:r>
        <w:rPr>
          <w:rFonts w:hint="default" w:ascii="Times New Roman" w:hAnsi="Times New Roman" w:eastAsia="方正仿宋_GBK" w:cs="Times New Roman"/>
          <w:color w:val="auto"/>
          <w:sz w:val="32"/>
          <w:szCs w:val="32"/>
        </w:rPr>
        <w:t>439.36</w:t>
      </w:r>
      <w:r>
        <w:rPr>
          <w:rFonts w:hint="default" w:ascii="Times New Roman" w:hAnsi="Times New Roman" w:eastAsia="方正仿宋_GBK" w:cs="Times New Roman"/>
          <w:color w:val="auto"/>
          <w:sz w:val="32"/>
          <w:szCs w:val="32"/>
          <w:shd w:val="clear" w:color="auto" w:fill="FFFFFF"/>
        </w:rPr>
        <w:t>万元，占24.51%。</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Style w:val="11"/>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color w:val="auto"/>
          <w:sz w:val="32"/>
          <w:szCs w:val="32"/>
          <w:shd w:val="clear" w:color="auto" w:fill="FFFFFF"/>
        </w:rPr>
        <w:t>4.结转结余情况。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2023年度年末</w:t>
      </w:r>
      <w:r>
        <w:rPr>
          <w:rFonts w:hint="default" w:ascii="Times New Roman" w:hAnsi="Times New Roman" w:eastAsia="方正仿宋_GBK" w:cs="Times New Roman"/>
          <w:color w:val="auto"/>
          <w:sz w:val="32"/>
          <w:szCs w:val="32"/>
          <w:shd w:val="clear" w:color="auto" w:fill="FFFFFF"/>
          <w:lang w:eastAsia="zh-CN"/>
        </w:rPr>
        <w:t>无</w:t>
      </w:r>
      <w:r>
        <w:rPr>
          <w:rFonts w:hint="default" w:ascii="Times New Roman" w:hAnsi="Times New Roman" w:eastAsia="方正仿宋_GBK" w:cs="Times New Roman"/>
          <w:color w:val="auto"/>
          <w:sz w:val="32"/>
          <w:szCs w:val="32"/>
          <w:shd w:val="clear" w:color="auto" w:fill="FFFFFF"/>
        </w:rPr>
        <w:t>结转和结余</w:t>
      </w:r>
      <w:r>
        <w:rPr>
          <w:rFonts w:hint="default" w:ascii="Times New Roman" w:hAnsi="Times New Roman" w:eastAsia="方正仿宋_GBK" w:cs="Times New Roman"/>
          <w:color w:val="auto"/>
          <w:sz w:val="32"/>
          <w:szCs w:val="32"/>
          <w:lang w:eastAsia="zh-CN"/>
        </w:rPr>
        <w:t>。</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2023年度财政拨款收、支总计1792.28万元。与2022年相比，</w:t>
      </w:r>
      <w:r>
        <w:rPr>
          <w:rFonts w:hint="default" w:ascii="Times New Roman" w:hAnsi="Times New Roman" w:eastAsia="方正仿宋_GBK" w:cs="Times New Roman"/>
          <w:color w:val="auto"/>
          <w:sz w:val="32"/>
          <w:szCs w:val="32"/>
          <w:shd w:val="clear" w:fill="FFFFFF"/>
        </w:rPr>
        <w:t>财政拨款收、支总计各</w:t>
      </w:r>
      <w:r>
        <w:rPr>
          <w:rFonts w:hint="default" w:ascii="Times New Roman" w:hAnsi="Times New Roman" w:eastAsia="方正仿宋_GBK" w:cs="Times New Roman"/>
          <w:color w:val="auto"/>
          <w:sz w:val="32"/>
          <w:szCs w:val="32"/>
          <w:shd w:val="clear" w:fill="FFFFFF"/>
          <w:lang w:eastAsia="zh-CN"/>
        </w:rPr>
        <w:t>增加</w:t>
      </w:r>
      <w:r>
        <w:rPr>
          <w:rFonts w:hint="default" w:ascii="Times New Roman" w:hAnsi="Times New Roman" w:eastAsia="方正仿宋_GBK" w:cs="Times New Roman"/>
          <w:color w:val="auto"/>
          <w:sz w:val="32"/>
          <w:szCs w:val="32"/>
          <w:shd w:val="clear" w:color="auto" w:fill="FFFFFF"/>
        </w:rPr>
        <w:t>229.90万元，增长14.71%</w:t>
      </w:r>
      <w:r>
        <w:rPr>
          <w:rFonts w:hint="default" w:ascii="Times New Roman" w:hAnsi="Times New Roman" w:eastAsia="方正仿宋_GBK" w:cs="Times New Roman"/>
          <w:color w:val="auto"/>
          <w:sz w:val="32"/>
          <w:szCs w:val="32"/>
          <w:shd w:val="clear" w:fill="FFFFFF"/>
        </w:rPr>
        <w:t>。</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bidi="ar-SA"/>
        </w:rPr>
        <w:t>2023年年中加开了一次人代会增加了开支；2023年部门整体调入人员多于调出人员，人员经费增加。</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1792.28</w:t>
      </w:r>
      <w:r>
        <w:rPr>
          <w:rFonts w:hint="default" w:ascii="Times New Roman" w:hAnsi="Times New Roman" w:eastAsia="方正仿宋_GBK" w:cs="Times New Roman"/>
          <w:color w:val="auto"/>
          <w:sz w:val="32"/>
          <w:szCs w:val="32"/>
          <w:shd w:val="clear" w:color="auto" w:fill="FFFFFF"/>
        </w:rPr>
        <w:t>万元，较上年决算数增加229.90万元，增长14.71%。主要原因是</w:t>
      </w:r>
      <w:r>
        <w:rPr>
          <w:rFonts w:hint="default" w:ascii="Times New Roman" w:hAnsi="Times New Roman" w:eastAsia="方正仿宋_GBK" w:cs="Times New Roman"/>
          <w:color w:val="auto"/>
          <w:sz w:val="32"/>
          <w:szCs w:val="32"/>
          <w:shd w:val="clear" w:color="auto" w:fill="FFFFFF"/>
          <w:lang w:val="en-US" w:eastAsia="zh-CN" w:bidi="ar-SA"/>
        </w:rPr>
        <w:t>2023年年中加开了一次人代会增加了开支；2023年部门整体调入人员多于调出人员，人员经费增加。</w:t>
      </w:r>
      <w:r>
        <w:rPr>
          <w:rFonts w:hint="default" w:ascii="Times New Roman" w:hAnsi="Times New Roman" w:eastAsia="方正仿宋_GBK" w:cs="Times New Roman"/>
          <w:color w:val="auto"/>
          <w:sz w:val="32"/>
          <w:szCs w:val="32"/>
          <w:shd w:val="clear" w:color="auto" w:fill="FFFFFF"/>
        </w:rPr>
        <w:t>较年初预算数增加512.26万元，增长40.02%。主要原因是</w:t>
      </w:r>
      <w:r>
        <w:rPr>
          <w:rFonts w:hint="default" w:ascii="Times New Roman" w:hAnsi="Times New Roman" w:eastAsia="方正仿宋_GBK" w:cs="Times New Roman"/>
          <w:color w:val="auto"/>
          <w:sz w:val="32"/>
          <w:szCs w:val="32"/>
          <w:shd w:val="clear" w:color="auto" w:fill="FFFFFF"/>
          <w:lang w:val="en-US" w:eastAsia="zh-CN" w:bidi="ar-SA"/>
        </w:rPr>
        <w:t>根据财政统一安排，年初未预算项目支出，2023年追加预算，实际产生了项目支出。</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Style w:val="11"/>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1792.28</w:t>
      </w:r>
      <w:r>
        <w:rPr>
          <w:rFonts w:hint="default" w:ascii="Times New Roman" w:hAnsi="Times New Roman" w:eastAsia="方正仿宋_GBK" w:cs="Times New Roman"/>
          <w:color w:val="auto"/>
          <w:sz w:val="32"/>
          <w:szCs w:val="32"/>
          <w:shd w:val="clear" w:color="auto" w:fill="FFFFFF"/>
        </w:rPr>
        <w:t>万元，较上年决算数增加229.90万元，增长14.71%。主要原因是</w:t>
      </w:r>
      <w:r>
        <w:rPr>
          <w:rFonts w:hint="default" w:ascii="Times New Roman" w:hAnsi="Times New Roman" w:eastAsia="方正仿宋_GBK" w:cs="Times New Roman"/>
          <w:color w:val="auto"/>
          <w:sz w:val="32"/>
          <w:szCs w:val="32"/>
          <w:shd w:val="clear" w:color="auto" w:fill="FFFFFF"/>
          <w:lang w:val="en-US" w:eastAsia="zh-CN" w:bidi="ar-SA"/>
        </w:rPr>
        <w:t>2023年年中加开了一次人代会增加了开支；2023年部门整体调入人员多于调出人员，人员经费增加。</w:t>
      </w:r>
      <w:r>
        <w:rPr>
          <w:rFonts w:hint="default" w:ascii="Times New Roman" w:hAnsi="Times New Roman" w:eastAsia="方正仿宋_GBK" w:cs="Times New Roman"/>
          <w:color w:val="auto"/>
          <w:sz w:val="32"/>
          <w:szCs w:val="32"/>
          <w:shd w:val="clear" w:color="auto" w:fill="FFFFFF"/>
        </w:rPr>
        <w:t>较年初预算数增加512.26万元，增长40.02%。主要原因是</w:t>
      </w:r>
      <w:r>
        <w:rPr>
          <w:rFonts w:hint="default" w:ascii="Times New Roman" w:hAnsi="Times New Roman" w:eastAsia="方正仿宋_GBK" w:cs="Times New Roman"/>
          <w:color w:val="auto"/>
          <w:sz w:val="32"/>
          <w:szCs w:val="32"/>
          <w:shd w:val="clear" w:color="auto" w:fill="FFFFFF"/>
          <w:lang w:val="en-US" w:eastAsia="zh-CN" w:bidi="ar-SA"/>
        </w:rPr>
        <w:t>根据财政统一安排，年初未预算项目支出，2023年追加预算，实际产生了项目支出。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lang w:eastAsia="zh-CN"/>
        </w:rPr>
      </w:pPr>
      <w:r>
        <w:rPr>
          <w:rStyle w:val="11"/>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2023年度年末一般公共预算财政拨款</w:t>
      </w:r>
      <w:r>
        <w:rPr>
          <w:rFonts w:hint="default" w:ascii="Times New Roman" w:hAnsi="Times New Roman" w:eastAsia="方正仿宋_GBK" w:cs="Times New Roman"/>
          <w:color w:val="auto"/>
          <w:sz w:val="32"/>
          <w:szCs w:val="32"/>
          <w:shd w:val="clear" w:color="auto" w:fill="FFFFFF"/>
          <w:lang w:eastAsia="zh-CN"/>
        </w:rPr>
        <w:t>无</w:t>
      </w:r>
      <w:r>
        <w:rPr>
          <w:rFonts w:hint="default" w:ascii="Times New Roman" w:hAnsi="Times New Roman" w:eastAsia="方正仿宋_GBK" w:cs="Times New Roman"/>
          <w:color w:val="auto"/>
          <w:sz w:val="32"/>
          <w:szCs w:val="32"/>
          <w:shd w:val="clear" w:color="auto" w:fill="FFFFFF"/>
        </w:rPr>
        <w:t>结转和结余</w:t>
      </w:r>
      <w:r>
        <w:rPr>
          <w:rFonts w:hint="default" w:ascii="Times New Roman" w:hAnsi="Times New Roman" w:eastAsia="方正仿宋_GBK" w:cs="Times New Roman"/>
          <w:color w:val="auto"/>
          <w:sz w:val="32"/>
          <w:szCs w:val="32"/>
          <w:shd w:val="clear" w:color="auto"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highlight w:val="cyan"/>
          <w:shd w:val="clear" w:color="auto" w:fill="FFFFFF"/>
        </w:rPr>
      </w:pPr>
      <w:r>
        <w:rPr>
          <w:rStyle w:val="11"/>
          <w:rFonts w:hint="default" w:ascii="Times New Roman" w:hAnsi="Times New Roman" w:eastAsia="方正仿宋_GBK" w:cs="Times New Roman"/>
          <w:color w:val="auto"/>
          <w:sz w:val="32"/>
          <w:szCs w:val="32"/>
          <w:shd w:val="clear" w:color="auto" w:fill="FFFFFF"/>
        </w:rPr>
        <w:t xml:space="preserve"> 4.比较情况。</w:t>
      </w:r>
      <w:r>
        <w:rPr>
          <w:rFonts w:hint="default" w:ascii="Times New Roman" w:hAnsi="Times New Roman" w:eastAsia="方正仿宋_GBK" w:cs="Times New Roman"/>
          <w:color w:val="auto"/>
          <w:sz w:val="32"/>
          <w:szCs w:val="32"/>
          <w:shd w:val="clear" w:color="auto" w:fill="FFFFFF"/>
        </w:rPr>
        <w:t>本部门2023年度一般公共预算财政拨款支出主要用于以下几个方面：</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rPr>
        <w:t>（1）一般公共服务支出</w:t>
      </w:r>
      <w:r>
        <w:rPr>
          <w:rFonts w:hint="default" w:ascii="Times New Roman" w:hAnsi="Times New Roman" w:eastAsia="方正仿宋_GBK" w:cs="Times New Roman"/>
          <w:color w:val="auto"/>
          <w:sz w:val="32"/>
          <w:szCs w:val="32"/>
        </w:rPr>
        <w:t>1413.92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78.89</w:t>
      </w:r>
      <w:r>
        <w:rPr>
          <w:rFonts w:hint="default" w:ascii="Times New Roman" w:hAnsi="Times New Roman" w:eastAsia="方正仿宋_GBK" w:cs="Times New Roman"/>
          <w:color w:val="auto"/>
          <w:sz w:val="32"/>
          <w:szCs w:val="32"/>
          <w:shd w:val="clear" w:color="auto" w:fill="FFFFFF"/>
        </w:rPr>
        <w:t>%，较年初预算数增加515.15万元，增长57.32%，主要原因是</w:t>
      </w:r>
      <w:r>
        <w:rPr>
          <w:rFonts w:hint="default" w:ascii="Times New Roman" w:hAnsi="Times New Roman" w:eastAsia="方正仿宋_GBK" w:cs="Times New Roman"/>
          <w:color w:val="auto"/>
          <w:sz w:val="32"/>
          <w:szCs w:val="32"/>
          <w:shd w:val="clear" w:color="auto" w:fill="FFFFFF"/>
          <w:lang w:val="en-US" w:eastAsia="zh-CN" w:bidi="ar-SA"/>
        </w:rPr>
        <w:t>根据财政统一安排，年初未预算项目支出，2023年追加预算，实际产生了项目支出。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rPr>
        <w:t>（2）社会保障与就业支出</w:t>
      </w:r>
      <w:r>
        <w:rPr>
          <w:rFonts w:hint="default" w:ascii="Times New Roman" w:hAnsi="Times New Roman" w:eastAsia="方正仿宋_GBK" w:cs="Times New Roman"/>
          <w:color w:val="auto"/>
          <w:sz w:val="32"/>
          <w:szCs w:val="32"/>
        </w:rPr>
        <w:t>250.66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13.99</w:t>
      </w:r>
      <w:r>
        <w:rPr>
          <w:rFonts w:hint="default" w:ascii="Times New Roman" w:hAnsi="Times New Roman" w:eastAsia="方正仿宋_GBK" w:cs="Times New Roman"/>
          <w:color w:val="auto"/>
          <w:sz w:val="32"/>
          <w:szCs w:val="32"/>
          <w:shd w:val="clear" w:color="auto" w:fill="FFFFFF"/>
        </w:rPr>
        <w:t>%，较年初预算数增加11.61万元，增长4.86%，主要原因是</w:t>
      </w:r>
      <w:r>
        <w:rPr>
          <w:rFonts w:hint="default" w:ascii="Times New Roman" w:hAnsi="Times New Roman" w:eastAsia="方正仿宋_GBK" w:cs="Times New Roman"/>
          <w:color w:val="auto"/>
          <w:sz w:val="32"/>
          <w:szCs w:val="32"/>
          <w:shd w:val="clear" w:color="auto" w:fill="FFFFFF"/>
          <w:lang w:val="en-US" w:eastAsia="zh-CN" w:bidi="ar-SA"/>
        </w:rPr>
        <w:t>2023年正常社会保险缴费基数调整，增加了社会保障与就业支出。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53.27</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2.97</w:t>
      </w:r>
      <w:r>
        <w:rPr>
          <w:rFonts w:hint="default" w:ascii="Times New Roman" w:hAnsi="Times New Roman" w:eastAsia="方正仿宋_GBK" w:cs="Times New Roman"/>
          <w:color w:val="auto"/>
          <w:sz w:val="32"/>
          <w:szCs w:val="32"/>
          <w:shd w:val="clear" w:color="auto" w:fill="FFFFFF"/>
        </w:rPr>
        <w:t>%，较年初预算数减少4.00万元，下降6.98%，主要原因是</w:t>
      </w:r>
      <w:r>
        <w:rPr>
          <w:rFonts w:hint="default" w:ascii="Times New Roman" w:hAnsi="Times New Roman" w:eastAsia="方正仿宋_GBK" w:cs="Times New Roman"/>
          <w:color w:val="auto"/>
          <w:sz w:val="32"/>
          <w:szCs w:val="32"/>
          <w:shd w:val="clear" w:color="auto" w:fill="FFFFFF"/>
          <w:lang w:eastAsia="zh-CN"/>
        </w:rPr>
        <w:t>工资标准调整，影响其医保相关缴费基数，基数下降，全年支出下降。</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住房保障支出74.43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4.15</w:t>
      </w:r>
      <w:r>
        <w:rPr>
          <w:rFonts w:hint="default" w:ascii="Times New Roman" w:hAnsi="Times New Roman" w:eastAsia="方正仿宋_GBK" w:cs="Times New Roman"/>
          <w:color w:val="auto"/>
          <w:sz w:val="32"/>
          <w:szCs w:val="32"/>
          <w:shd w:val="clear" w:color="auto" w:fill="FFFFFF"/>
        </w:rPr>
        <w:t>%，较年初预算数减少6.82万元，下降8.39%，主要原因是</w:t>
      </w:r>
      <w:r>
        <w:rPr>
          <w:rFonts w:hint="default" w:ascii="Times New Roman" w:hAnsi="Times New Roman" w:eastAsia="方正仿宋_GBK" w:cs="Times New Roman"/>
          <w:color w:val="auto"/>
          <w:sz w:val="32"/>
          <w:szCs w:val="32"/>
          <w:shd w:val="clear" w:color="auto" w:fill="FFFFFF"/>
          <w:lang w:val="en-US" w:eastAsia="zh-CN" w:bidi="ar-SA"/>
        </w:rPr>
        <w:t>2023年度人员变动，调整预算减少了住房保障支出。</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（四）一般公共预算财政拨款基本支出决算情况说明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1352.92</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1189.72</w:t>
      </w:r>
      <w:r>
        <w:rPr>
          <w:rFonts w:hint="default" w:ascii="Times New Roman" w:hAnsi="Times New Roman" w:eastAsia="方正仿宋_GBK" w:cs="Times New Roman"/>
          <w:color w:val="auto"/>
          <w:sz w:val="32"/>
          <w:szCs w:val="32"/>
          <w:shd w:val="clear" w:color="auto" w:fill="FFFFFF"/>
        </w:rPr>
        <w:t>万元，较上年决算数增加179.64万元，增长17.78%，主要原因是</w:t>
      </w:r>
      <w:r>
        <w:rPr>
          <w:rFonts w:hint="default" w:ascii="Times New Roman" w:hAnsi="Times New Roman" w:eastAsia="方正仿宋_GBK" w:cs="Times New Roman"/>
          <w:color w:val="auto"/>
          <w:sz w:val="32"/>
          <w:szCs w:val="32"/>
          <w:shd w:val="clear" w:color="auto" w:fill="FFFFFF"/>
          <w:lang w:val="en-US" w:eastAsia="zh-CN" w:bidi="ar-SA"/>
        </w:rPr>
        <w:t>2023年调入人员多于调出人员，人员经费增加。</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bidi="ar-SA"/>
        </w:rPr>
        <w:t>基本工资、津贴补贴、社会保障缴费、住房公积金、其他工资福利支出以及对个人和家庭的补助支出等。</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163.20</w:t>
      </w:r>
      <w:r>
        <w:rPr>
          <w:rFonts w:hint="default" w:ascii="Times New Roman" w:hAnsi="Times New Roman" w:eastAsia="方正仿宋_GBK" w:cs="Times New Roman"/>
          <w:color w:val="auto"/>
          <w:sz w:val="32"/>
          <w:szCs w:val="32"/>
          <w:shd w:val="clear" w:color="auto" w:fill="FFFFFF"/>
        </w:rPr>
        <w:t>万元，较上年决算数减少40.26万元，下降19.79%，主要原因是</w:t>
      </w:r>
      <w:r>
        <w:rPr>
          <w:rFonts w:hint="default" w:ascii="Times New Roman" w:hAnsi="Times New Roman" w:eastAsia="方正仿宋_GBK" w:cs="Times New Roman"/>
          <w:color w:val="auto"/>
          <w:sz w:val="32"/>
          <w:szCs w:val="32"/>
          <w:shd w:val="clear" w:color="auto" w:fill="FFFFFF"/>
          <w:lang w:val="en-US" w:eastAsia="zh-CN" w:bidi="ar-SA"/>
        </w:rPr>
        <w:t>日常节约开支，部分开支未在当年支付。</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val="en-US" w:eastAsia="zh-CN" w:bidi="ar-SA"/>
        </w:rPr>
        <w:t>办公费、印刷费、电费、邮电费、差旅费、工会经费、福利费、其他交通费等。</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本部门2023年度无政府性基金预算财政拨款收支。</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 本部门2023年度无国有资本经营预算财政拨款支</w:t>
      </w:r>
      <w:r>
        <w:rPr>
          <w:rFonts w:hint="default" w:ascii="Times New Roman" w:hAnsi="Times New Roman" w:eastAsia="方正仿宋_GBK" w:cs="Times New Roman"/>
          <w:color w:val="auto"/>
          <w:sz w:val="32"/>
          <w:szCs w:val="32"/>
          <w:shd w:val="clear" w:color="auto" w:fill="FFFFFF"/>
          <w:lang w:eastAsia="zh-CN"/>
        </w:rPr>
        <w:t>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11"/>
          <w:rFonts w:hint="default" w:ascii="方正黑体_GBK" w:hAnsi="方正黑体_GBK" w:eastAsia="方正黑体_GBK" w:cs="方正黑体_GBK"/>
          <w:b w:val="0"/>
          <w:bCs/>
          <w:color w:val="auto"/>
          <w:sz w:val="32"/>
          <w:szCs w:val="32"/>
          <w:shd w:val="clear" w:color="auto" w:fill="FFFFFF"/>
        </w:rPr>
      </w:pPr>
      <w:r>
        <w:rPr>
          <w:rStyle w:val="11"/>
          <w:rFonts w:hint="default" w:ascii="方正黑体_GBK" w:hAnsi="方正黑体_GBK" w:eastAsia="方正黑体_GBK" w:cs="方正黑体_GBK"/>
          <w:b w:val="0"/>
          <w:bCs/>
          <w:color w:val="auto"/>
          <w:sz w:val="32"/>
          <w:szCs w:val="32"/>
          <w:shd w:val="clear" w:color="auto" w:fill="FFFFFF"/>
        </w:rPr>
        <w:t>三、“三公”经费情况说明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22.00</w:t>
      </w:r>
      <w:r>
        <w:rPr>
          <w:rFonts w:hint="default" w:ascii="Times New Roman" w:hAnsi="Times New Roman" w:eastAsia="方正仿宋_GBK" w:cs="Times New Roman"/>
          <w:color w:val="auto"/>
          <w:sz w:val="32"/>
          <w:szCs w:val="32"/>
          <w:shd w:val="clear" w:color="auto" w:fill="FFFFFF"/>
        </w:rPr>
        <w:t>万元，较年初预算数无增减</w:t>
      </w:r>
      <w:r>
        <w:rPr>
          <w:rFonts w:hint="default" w:ascii="Times New Roman" w:hAnsi="Times New Roman" w:eastAsia="方正仿宋_GBK" w:cs="Times New Roman"/>
          <w:color w:val="auto"/>
          <w:sz w:val="32"/>
          <w:szCs w:val="32"/>
          <w:shd w:val="clear" w:color="auto" w:fill="FFFFFF"/>
          <w:lang w:eastAsia="zh-CN"/>
        </w:rPr>
        <w:t>。</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（二）“三公”经费分项支出情况</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2023年度本部门未发生因公出国（境）费用。</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2023年度本部门未发生公务车购置费用。</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公务车运行维护费15.00万元，主要用于机要文件交换、市内因公出行、视察调研等工作所需车辆的燃料费、维修费、过路过桥费、保险费等开支，费用支出较年初预算数无增减。 </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公务接待费7.00万元，主要用于接待国内省市及区县等相关部门学习调研及检查指导工作发生的接待支出。费用支出较年初预算数一致，较上年支出数一致。</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（三）“三公”经费实物量情况</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2023年度本部门因公出国（境）共计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50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920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人。2023年本部门人均接待费</w:t>
      </w:r>
      <w:r>
        <w:rPr>
          <w:rFonts w:hint="default" w:ascii="Times New Roman" w:hAnsi="Times New Roman" w:eastAsia="方正仿宋_GBK" w:cs="Times New Roman"/>
          <w:color w:val="auto"/>
          <w:sz w:val="32"/>
          <w:szCs w:val="32"/>
        </w:rPr>
        <w:t>76.09</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3.00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left"/>
        <w:textAlignment w:val="auto"/>
        <w:rPr>
          <w:rStyle w:val="11"/>
          <w:rFonts w:hint="default" w:ascii="方正黑体_GBK" w:hAnsi="方正黑体_GBK" w:eastAsia="方正黑体_GBK" w:cs="方正黑体_GBK"/>
          <w:b w:val="0"/>
          <w:bCs/>
          <w:color w:val="auto"/>
          <w:sz w:val="32"/>
          <w:szCs w:val="32"/>
          <w:shd w:val="clear" w:color="auto" w:fill="FFFFFF"/>
        </w:rPr>
      </w:pPr>
      <w:r>
        <w:rPr>
          <w:rStyle w:val="11"/>
          <w:rFonts w:hint="default" w:ascii="方正黑体_GBK" w:hAnsi="方正黑体_GBK" w:eastAsia="方正黑体_GBK" w:cs="方正黑体_GBK"/>
          <w:b w:val="0"/>
          <w:bCs/>
          <w:color w:val="auto"/>
          <w:sz w:val="32"/>
          <w:szCs w:val="32"/>
          <w:shd w:val="clear" w:color="auto" w:fill="FFFFFF"/>
        </w:rPr>
        <w:t>四、其他需要说明的事项</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（一）财政拨款会议费和培训费情况说明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rPr>
        <w:t>本年度会议费支出</w:t>
      </w:r>
      <w:r>
        <w:rPr>
          <w:rFonts w:hint="default" w:ascii="Times New Roman" w:hAnsi="Times New Roman" w:eastAsia="方正仿宋_GBK" w:cs="Times New Roman"/>
          <w:color w:val="auto"/>
          <w:sz w:val="32"/>
          <w:szCs w:val="32"/>
        </w:rPr>
        <w:t>63.52</w:t>
      </w:r>
      <w:r>
        <w:rPr>
          <w:rFonts w:hint="default" w:ascii="Times New Roman" w:hAnsi="Times New Roman" w:eastAsia="方正仿宋_GBK" w:cs="Times New Roman"/>
          <w:color w:val="auto"/>
          <w:sz w:val="32"/>
          <w:szCs w:val="32"/>
          <w:shd w:val="clear" w:color="auto" w:fill="FFFFFF"/>
        </w:rPr>
        <w:t>万元，较上年决算数增加12.97万元，增长25.66%，主要原因是</w:t>
      </w:r>
      <w:r>
        <w:rPr>
          <w:rFonts w:hint="default" w:ascii="Times New Roman" w:hAnsi="Times New Roman" w:eastAsia="方正仿宋_GBK" w:cs="Times New Roman"/>
          <w:color w:val="auto"/>
          <w:sz w:val="32"/>
          <w:szCs w:val="32"/>
          <w:shd w:val="clear" w:color="auto" w:fill="FFFFFF"/>
          <w:lang w:val="en-US" w:eastAsia="zh-CN" w:bidi="ar-SA"/>
        </w:rPr>
        <w:t>2023年年中加开了一次人代会，相关开支增加。</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rPr>
        <w:t>75.55</w:t>
      </w:r>
      <w:r>
        <w:rPr>
          <w:rFonts w:hint="default" w:ascii="Times New Roman" w:hAnsi="Times New Roman" w:eastAsia="方正仿宋_GBK" w:cs="Times New Roman"/>
          <w:color w:val="auto"/>
          <w:sz w:val="32"/>
          <w:szCs w:val="32"/>
          <w:shd w:val="clear" w:color="auto" w:fill="FFFFFF"/>
        </w:rPr>
        <w:t>万元，较上年决算数增加25.29万元，增长50.32%，主要原因是</w:t>
      </w:r>
      <w:r>
        <w:rPr>
          <w:rFonts w:hint="default" w:ascii="Times New Roman" w:hAnsi="Times New Roman" w:eastAsia="方正仿宋_GBK" w:cs="Times New Roman"/>
          <w:color w:val="auto"/>
          <w:sz w:val="32"/>
          <w:szCs w:val="32"/>
          <w:shd w:val="clear" w:color="auto" w:fill="FFFFFF"/>
          <w:lang w:val="en-US" w:eastAsia="zh-CN" w:bidi="ar-SA"/>
        </w:rPr>
        <w:t>2023年增加了外出培训次数和人数，相关开支增加。</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（二）机关运行经费情况说明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rPr>
        <w:t>2023年度本部门机关运行经费支出</w:t>
      </w:r>
      <w:r>
        <w:rPr>
          <w:rFonts w:hint="default" w:ascii="Times New Roman" w:hAnsi="Times New Roman" w:eastAsia="方正仿宋_GBK" w:cs="Times New Roman"/>
          <w:color w:val="auto"/>
          <w:sz w:val="32"/>
          <w:szCs w:val="32"/>
        </w:rPr>
        <w:t>150.24</w:t>
      </w:r>
      <w:r>
        <w:rPr>
          <w:rFonts w:hint="default" w:ascii="Times New Roman" w:hAnsi="Times New Roman" w:eastAsia="方正仿宋_GBK" w:cs="Times New Roman"/>
          <w:color w:val="auto"/>
          <w:sz w:val="32"/>
          <w:szCs w:val="32"/>
          <w:shd w:val="clear" w:color="auto" w:fill="FFFFFF"/>
        </w:rPr>
        <w:t>万元，机关运行经费主要用于开支</w:t>
      </w:r>
      <w:r>
        <w:rPr>
          <w:rFonts w:hint="default" w:ascii="Times New Roman" w:hAnsi="Times New Roman" w:eastAsia="方正仿宋_GBK" w:cs="Times New Roman"/>
          <w:color w:val="auto"/>
          <w:sz w:val="32"/>
          <w:szCs w:val="32"/>
          <w:shd w:val="clear" w:color="auto" w:fill="FFFFFF"/>
          <w:lang w:val="en-US" w:eastAsia="zh-CN" w:bidi="ar-SA"/>
        </w:rPr>
        <w:t>办公费、公务用车运行维护费、水电费、差旅费、其他交通费用及其他商品服务开支。</w:t>
      </w:r>
      <w:r>
        <w:rPr>
          <w:rFonts w:hint="default" w:ascii="Times New Roman" w:hAnsi="Times New Roman" w:eastAsia="方正仿宋_GBK" w:cs="Times New Roman"/>
          <w:color w:val="auto"/>
          <w:sz w:val="32"/>
          <w:szCs w:val="32"/>
          <w:shd w:val="clear" w:color="auto" w:fill="FFFFFF"/>
        </w:rPr>
        <w:t>机关运行经费较上年支出数减少42.68万元，下降22.12%，主要原因是</w:t>
      </w:r>
      <w:r>
        <w:rPr>
          <w:rFonts w:hint="default" w:ascii="Times New Roman" w:hAnsi="Times New Roman" w:eastAsia="方正仿宋_GBK" w:cs="Times New Roman"/>
          <w:color w:val="auto"/>
          <w:sz w:val="32"/>
          <w:szCs w:val="32"/>
          <w:shd w:val="clear" w:color="auto" w:fill="FFFFFF"/>
          <w:lang w:val="en-US" w:eastAsia="zh-CN" w:bidi="ar-SA"/>
        </w:rPr>
        <w:t>日常节约开支，部分开支未在当年支付。</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截至2023年12月31日，本部门共有车辆</w:t>
      </w: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（四）政府采购支出情况说明</w:t>
      </w:r>
    </w:p>
    <w:p>
      <w:pPr>
        <w:pStyle w:val="12"/>
        <w:keepNext w:val="0"/>
        <w:keepLines w:val="0"/>
        <w:pageBreakBefore w:val="0"/>
        <w:widowControl/>
        <w:kinsoku/>
        <w:wordWrap/>
        <w:overflowPunct/>
        <w:topLinePunct w:val="0"/>
        <w:autoSpaceDE w:val="0"/>
        <w:autoSpaceDN/>
        <w:bidi w:val="0"/>
        <w:adjustRightInd/>
        <w:spacing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left"/>
        <w:textAlignment w:val="auto"/>
        <w:rPr>
          <w:rStyle w:val="11"/>
          <w:rFonts w:hint="default" w:ascii="方正黑体_GBK" w:hAnsi="方正黑体_GBK" w:eastAsia="方正黑体_GBK" w:cs="方正黑体_GBK"/>
          <w:b w:val="0"/>
          <w:bCs/>
          <w:color w:val="auto"/>
          <w:sz w:val="32"/>
          <w:szCs w:val="32"/>
          <w:shd w:val="clear" w:color="auto" w:fill="FFFFFF"/>
        </w:rPr>
      </w:pPr>
      <w:r>
        <w:rPr>
          <w:rStyle w:val="11"/>
          <w:rFonts w:hint="default" w:ascii="方正黑体_GBK" w:hAnsi="方正黑体_GBK" w:eastAsia="方正黑体_GBK" w:cs="方正黑体_GBK"/>
          <w:b w:val="0"/>
          <w:bCs/>
          <w:color w:val="auto"/>
          <w:sz w:val="32"/>
          <w:szCs w:val="32"/>
          <w:shd w:val="clear" w:color="auto" w:fill="FFFFFF"/>
          <w:lang w:eastAsia="zh-CN"/>
        </w:rPr>
        <w:t>五、</w:t>
      </w:r>
      <w:r>
        <w:rPr>
          <w:rStyle w:val="11"/>
          <w:rFonts w:hint="default" w:ascii="方正黑体_GBK" w:hAnsi="方正黑体_GBK" w:eastAsia="方正黑体_GBK" w:cs="方正黑体_GBK"/>
          <w:b w:val="0"/>
          <w:bCs/>
          <w:color w:val="auto"/>
          <w:sz w:val="32"/>
          <w:szCs w:val="32"/>
          <w:shd w:val="clear" w:color="auto" w:fill="FFFFFF"/>
        </w:rPr>
        <w:t>预算绩效管理情况说明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（一）部门自评情况</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firstLine="640" w:firstLineChars="200"/>
        <w:jc w:val="left"/>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bidi="ar-SA"/>
        </w:rPr>
        <w:t>根据预算绩效管理要求，本部门无重点专项项目，只对本部门整体绩效目标开展自评。</w:t>
      </w:r>
      <w:r>
        <w:rPr>
          <w:rFonts w:hint="default" w:ascii="Times New Roman" w:hAnsi="Times New Roman" w:eastAsia="方正仿宋_GBK" w:cs="Times New Roman"/>
          <w:color w:val="auto"/>
          <w:sz w:val="32"/>
          <w:szCs w:val="32"/>
          <w:shd w:val="clear" w:color="auto" w:fill="FFFFFF"/>
        </w:rPr>
        <w:t>其中，以填报自评表形式开展自评，涉及资金</w:t>
      </w:r>
      <w:r>
        <w:rPr>
          <w:rFonts w:hint="default" w:ascii="Times New Roman" w:hAnsi="Times New Roman" w:eastAsia="方正仿宋_GBK" w:cs="Times New Roman"/>
          <w:color w:val="auto"/>
          <w:sz w:val="32"/>
          <w:szCs w:val="32"/>
          <w:shd w:val="clear" w:color="auto" w:fill="FFFFFF"/>
          <w:lang w:val="en-US" w:eastAsia="zh-CN"/>
        </w:rPr>
        <w:t>1792.28</w:t>
      </w:r>
      <w:r>
        <w:rPr>
          <w:rFonts w:hint="default" w:ascii="Times New Roman" w:hAnsi="Times New Roman" w:eastAsia="方正仿宋_GBK" w:cs="Times New Roman"/>
          <w:color w:val="auto"/>
          <w:sz w:val="32"/>
          <w:szCs w:val="32"/>
          <w:shd w:val="clear" w:color="auto" w:fill="FFFFFF"/>
        </w:rPr>
        <w:t>万元。</w:t>
      </w:r>
    </w:p>
    <w:p>
      <w:pPr>
        <w:pStyle w:val="13"/>
        <w:spacing w:before="0" w:beforeAutospacing="0"/>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drawing>
          <wp:inline distT="0" distB="0" distL="114300" distR="114300">
            <wp:extent cx="5274310" cy="6095365"/>
            <wp:effectExtent l="0" t="0" r="2540" b="635"/>
            <wp:docPr id="1" name="图片 1" descr="部门整体绩效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部门整体绩效自评表"/>
                    <pic:cNvPicPr>
                      <a:picLocks noChangeAspect="1"/>
                    </pic:cNvPicPr>
                  </pic:nvPicPr>
                  <pic:blipFill>
                    <a:blip r:embed="rId7"/>
                    <a:stretch>
                      <a:fillRect/>
                    </a:stretch>
                  </pic:blipFill>
                  <pic:spPr>
                    <a:xfrm>
                      <a:off x="0" y="0"/>
                      <a:ext cx="5274310" cy="6095365"/>
                    </a:xfrm>
                    <a:prstGeom prst="rect">
                      <a:avLst/>
                    </a:prstGeom>
                  </pic:spPr>
                </pic:pic>
              </a:graphicData>
            </a:graphic>
          </wp:inline>
        </w:drawing>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color w:val="auto"/>
          <w:sz w:val="32"/>
          <w:szCs w:val="32"/>
          <w:shd w:val="clear" w:color="auto" w:fill="FFFFFF"/>
        </w:rPr>
      </w:pPr>
      <w:r>
        <w:rPr>
          <w:rStyle w:val="11"/>
          <w:rFonts w:hint="eastAsia" w:ascii="方正楷体_GBK" w:hAnsi="方正楷体_GBK" w:eastAsia="方正楷体_GBK" w:cs="方正楷体_GBK"/>
          <w:b w:val="0"/>
          <w:bCs/>
          <w:color w:val="auto"/>
          <w:sz w:val="32"/>
          <w:szCs w:val="32"/>
          <w:shd w:val="clear" w:color="auto" w:fill="FFFFFF"/>
        </w:rPr>
        <w:t>（二）部门绩效评价情况</w:t>
      </w:r>
    </w:p>
    <w:p>
      <w:pPr>
        <w:pStyle w:val="12"/>
        <w:keepNext w:val="0"/>
        <w:keepLines w:val="0"/>
        <w:pageBreakBefore w:val="0"/>
        <w:widowControl/>
        <w:kinsoku/>
        <w:wordWrap/>
        <w:overflowPunct/>
        <w:topLinePunct w:val="0"/>
        <w:autoSpaceDE w:val="0"/>
        <w:autoSpaceDN/>
        <w:bidi w:val="0"/>
        <w:adjustRightInd/>
        <w:spacing w:line="594" w:lineRule="exact"/>
        <w:ind w:firstLine="643"/>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我部门未组织开展绩效评价。</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（三）财政绩效评价情况</w:t>
      </w:r>
    </w:p>
    <w:p>
      <w:pPr>
        <w:pStyle w:val="12"/>
        <w:keepNext w:val="0"/>
        <w:keepLines w:val="0"/>
        <w:pageBreakBefore w:val="0"/>
        <w:widowControl/>
        <w:kinsoku/>
        <w:wordWrap/>
        <w:overflowPunct/>
        <w:topLinePunct w:val="0"/>
        <w:autoSpaceDE w:val="0"/>
        <w:autoSpaceDN/>
        <w:bidi w:val="0"/>
        <w:adjustRightInd/>
        <w:spacing w:line="594" w:lineRule="exact"/>
        <w:ind w:firstLine="643"/>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市财政局未委托第三方对我部门开展绩效评价。</w:t>
      </w:r>
    </w:p>
    <w:p>
      <w:pPr>
        <w:pStyle w:val="12"/>
        <w:keepNext w:val="0"/>
        <w:keepLines w:val="0"/>
        <w:pageBreakBefore w:val="0"/>
        <w:widowControl/>
        <w:kinsoku/>
        <w:wordWrap/>
        <w:overflowPunct/>
        <w:topLinePunct w:val="0"/>
        <w:autoSpaceDE w:val="0"/>
        <w:autoSpaceDN/>
        <w:bidi w:val="0"/>
        <w:adjustRightInd/>
        <w:spacing w:line="594" w:lineRule="exact"/>
        <w:ind w:firstLine="643"/>
        <w:textAlignment w:val="auto"/>
        <w:rPr>
          <w:rStyle w:val="11"/>
          <w:rFonts w:hint="eastAsia" w:ascii="方正黑体_GBK" w:hAnsi="方正黑体_GBK" w:eastAsia="方正黑体_GBK" w:cs="方正黑体_GBK"/>
          <w:color w:val="auto"/>
          <w:sz w:val="32"/>
          <w:szCs w:val="32"/>
          <w:shd w:val="clear" w:color="auto" w:fill="FFFFFF"/>
        </w:rPr>
      </w:pPr>
      <w:r>
        <w:rPr>
          <w:rStyle w:val="11"/>
          <w:rFonts w:hint="eastAsia" w:ascii="方正黑体_GBK" w:hAnsi="方正黑体_GBK" w:eastAsia="方正黑体_GBK" w:cs="方正黑体_GBK"/>
          <w:color w:val="auto"/>
          <w:sz w:val="32"/>
          <w:szCs w:val="32"/>
          <w:shd w:val="clear" w:color="auto" w:fill="FFFFFF"/>
        </w:rPr>
        <w:t> </w:t>
      </w:r>
      <w:r>
        <w:rPr>
          <w:rStyle w:val="11"/>
          <w:rFonts w:hint="eastAsia" w:ascii="方正黑体_GBK" w:hAnsi="方正黑体_GBK" w:eastAsia="方正黑体_GBK" w:cs="方正黑体_GBK"/>
          <w:b w:val="0"/>
          <w:bCs/>
          <w:color w:val="auto"/>
          <w:sz w:val="32"/>
          <w:szCs w:val="32"/>
          <w:shd w:val="clear" w:color="auto" w:fill="FFFFFF"/>
          <w:lang w:val="en-US" w:eastAsia="zh-CN" w:bidi="ar-SA"/>
        </w:rPr>
        <w:t xml:space="preserve"> 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color w:val="auto"/>
          <w:sz w:val="32"/>
          <w:szCs w:val="32"/>
          <w:shd w:val="clear" w:color="auto" w:fill="FFFFFF"/>
        </w:rPr>
        <w:t> （一）财政拨款收入：</w:t>
      </w:r>
      <w:r>
        <w:rPr>
          <w:rFonts w:hint="default" w:ascii="Times New Roman" w:hAnsi="Times New Roman" w:eastAsia="方正仿宋_GBK" w:cs="Times New Roman"/>
          <w:b w:val="0"/>
          <w:bCs w:val="0"/>
          <w:color w:val="auto"/>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 </w:t>
      </w:r>
      <w:r>
        <w:rPr>
          <w:rFonts w:hint="default" w:ascii="方正楷体_GBK" w:hAnsi="方正楷体_GBK" w:eastAsia="方正楷体_GBK" w:cs="方正楷体_GBK"/>
          <w:b w:val="0"/>
          <w:bCs w:val="0"/>
          <w:color w:val="auto"/>
          <w:sz w:val="32"/>
          <w:szCs w:val="32"/>
          <w:shd w:val="clear" w:color="auto" w:fill="FFFFFF"/>
        </w:rPr>
        <w:t>（二）事业收入：</w:t>
      </w:r>
      <w:r>
        <w:rPr>
          <w:rFonts w:hint="default" w:ascii="Times New Roman" w:hAnsi="Times New Roman" w:eastAsia="方正仿宋_GBK" w:cs="Times New Roman"/>
          <w:b w:val="0"/>
          <w:bCs w:val="0"/>
          <w:color w:val="auto"/>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方正楷体_GBK" w:hAnsi="方正楷体_GBK" w:eastAsia="方正楷体_GBK" w:cs="方正楷体_GBK"/>
          <w:b w:val="0"/>
          <w:bCs w:val="0"/>
          <w:color w:val="auto"/>
          <w:sz w:val="32"/>
          <w:szCs w:val="32"/>
          <w:shd w:val="clear" w:color="auto" w:fill="FFFFFF"/>
        </w:rPr>
        <w:t> （三）经营收入：</w:t>
      </w:r>
      <w:r>
        <w:rPr>
          <w:rFonts w:hint="default" w:ascii="Times New Roman" w:hAnsi="Times New Roman" w:eastAsia="方正仿宋_GBK" w:cs="Times New Roman"/>
          <w:b w:val="0"/>
          <w:bCs w:val="0"/>
          <w:color w:val="auto"/>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 </w:t>
      </w:r>
      <w:r>
        <w:rPr>
          <w:rFonts w:hint="default" w:ascii="方正楷体_GBK" w:hAnsi="方正楷体_GBK" w:eastAsia="方正楷体_GBK" w:cs="方正楷体_GBK"/>
          <w:b w:val="0"/>
          <w:bCs w:val="0"/>
          <w:color w:val="auto"/>
          <w:sz w:val="32"/>
          <w:szCs w:val="32"/>
          <w:shd w:val="clear" w:color="auto" w:fill="FFFFFF"/>
        </w:rPr>
        <w:t>（四）其他收入：</w:t>
      </w:r>
      <w:r>
        <w:rPr>
          <w:rFonts w:hint="default" w:ascii="Times New Roman" w:hAnsi="Times New Roman" w:eastAsia="方正仿宋_GBK" w:cs="Times New Roman"/>
          <w:b w:val="0"/>
          <w:bCs w:val="0"/>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方正楷体_GBK" w:hAnsi="方正楷体_GBK" w:eastAsia="方正楷体_GBK" w:cs="方正楷体_GBK"/>
          <w:b w:val="0"/>
          <w:bCs w:val="0"/>
          <w:color w:val="auto"/>
          <w:sz w:val="32"/>
          <w:szCs w:val="32"/>
          <w:shd w:val="clear" w:color="auto" w:fill="FFFFFF"/>
        </w:rPr>
        <w:t>（五）使用非财政拨款结余：</w:t>
      </w:r>
      <w:r>
        <w:rPr>
          <w:rFonts w:hint="default" w:ascii="Times New Roman" w:hAnsi="Times New Roman" w:eastAsia="方正仿宋_GBK" w:cs="Times New Roman"/>
          <w:b w:val="0"/>
          <w:bCs w:val="0"/>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方正楷体_GBK" w:hAnsi="方正楷体_GBK" w:eastAsia="方正楷体_GBK" w:cs="方正楷体_GBK"/>
          <w:b w:val="0"/>
          <w:bCs w:val="0"/>
          <w:color w:val="auto"/>
          <w:sz w:val="32"/>
          <w:szCs w:val="32"/>
          <w:shd w:val="clear" w:color="auto" w:fill="FFFFFF"/>
        </w:rPr>
        <w:t> （六）年初结转和结余：</w:t>
      </w:r>
      <w:r>
        <w:rPr>
          <w:rFonts w:hint="default" w:ascii="Times New Roman" w:hAnsi="Times New Roman" w:eastAsia="方正仿宋_GBK" w:cs="Times New Roman"/>
          <w:b w:val="0"/>
          <w:bCs w:val="0"/>
          <w:color w:val="auto"/>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 </w:t>
      </w:r>
      <w:r>
        <w:rPr>
          <w:rFonts w:hint="default" w:ascii="方正楷体_GBK" w:hAnsi="方正楷体_GBK" w:eastAsia="方正楷体_GBK" w:cs="方正楷体_GBK"/>
          <w:b w:val="0"/>
          <w:bCs w:val="0"/>
          <w:color w:val="auto"/>
          <w:sz w:val="32"/>
          <w:szCs w:val="32"/>
          <w:shd w:val="clear" w:color="auto" w:fill="FFFFFF"/>
        </w:rPr>
        <w:t>（七）结余分配：</w:t>
      </w:r>
      <w:r>
        <w:rPr>
          <w:rFonts w:hint="default" w:ascii="Times New Roman" w:hAnsi="Times New Roman" w:eastAsia="方正仿宋_GBK" w:cs="Times New Roman"/>
          <w:b w:val="0"/>
          <w:bCs w:val="0"/>
          <w:color w:val="auto"/>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 </w:t>
      </w:r>
      <w:r>
        <w:rPr>
          <w:rFonts w:hint="default" w:ascii="方正楷体_GBK" w:hAnsi="方正楷体_GBK" w:eastAsia="方正楷体_GBK" w:cs="方正楷体_GBK"/>
          <w:b w:val="0"/>
          <w:bCs w:val="0"/>
          <w:color w:val="auto"/>
          <w:sz w:val="32"/>
          <w:szCs w:val="32"/>
          <w:shd w:val="clear" w:color="auto" w:fill="FFFFFF"/>
        </w:rPr>
        <w:t>（八）年末结转和结余：</w:t>
      </w:r>
      <w:r>
        <w:rPr>
          <w:rFonts w:hint="default" w:ascii="Times New Roman" w:hAnsi="Times New Roman" w:eastAsia="方正仿宋_GBK" w:cs="Times New Roman"/>
          <w:b w:val="0"/>
          <w:bCs w:val="0"/>
          <w:color w:val="auto"/>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 </w:t>
      </w:r>
      <w:r>
        <w:rPr>
          <w:rFonts w:hint="default" w:ascii="方正楷体_GBK" w:hAnsi="方正楷体_GBK" w:eastAsia="方正楷体_GBK" w:cs="方正楷体_GBK"/>
          <w:b w:val="0"/>
          <w:bCs w:val="0"/>
          <w:color w:val="auto"/>
          <w:sz w:val="32"/>
          <w:szCs w:val="32"/>
          <w:shd w:val="clear" w:color="auto" w:fill="FFFFFF"/>
        </w:rPr>
        <w:t>（九）基本支出：</w:t>
      </w:r>
      <w:r>
        <w:rPr>
          <w:rFonts w:hint="default" w:ascii="Times New Roman" w:hAnsi="Times New Roman" w:eastAsia="方正仿宋_GBK" w:cs="Times New Roman"/>
          <w:b w:val="0"/>
          <w:bCs w:val="0"/>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 </w:t>
      </w:r>
      <w:r>
        <w:rPr>
          <w:rFonts w:hint="default" w:ascii="方正楷体_GBK" w:hAnsi="方正楷体_GBK" w:eastAsia="方正楷体_GBK" w:cs="方正楷体_GBK"/>
          <w:b w:val="0"/>
          <w:bCs w:val="0"/>
          <w:color w:val="auto"/>
          <w:sz w:val="32"/>
          <w:szCs w:val="32"/>
          <w:shd w:val="clear" w:color="auto" w:fill="FFFFFF"/>
        </w:rPr>
        <w:t>（十）项目支出：</w:t>
      </w:r>
      <w:r>
        <w:rPr>
          <w:rFonts w:hint="default" w:ascii="Times New Roman" w:hAnsi="Times New Roman" w:eastAsia="方正仿宋_GBK" w:cs="Times New Roman"/>
          <w:b w:val="0"/>
          <w:bCs w:val="0"/>
          <w:color w:val="auto"/>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 </w:t>
      </w:r>
      <w:r>
        <w:rPr>
          <w:rFonts w:hint="default" w:ascii="方正楷体_GBK" w:hAnsi="方正楷体_GBK" w:eastAsia="方正楷体_GBK" w:cs="方正楷体_GBK"/>
          <w:b w:val="0"/>
          <w:bCs w:val="0"/>
          <w:color w:val="auto"/>
          <w:sz w:val="32"/>
          <w:szCs w:val="32"/>
          <w:shd w:val="clear" w:color="auto" w:fill="FFFFFF"/>
        </w:rPr>
        <w:t>（十一）经营支出：</w:t>
      </w:r>
      <w:r>
        <w:rPr>
          <w:rFonts w:hint="default" w:ascii="Times New Roman" w:hAnsi="Times New Roman" w:eastAsia="方正仿宋_GBK" w:cs="Times New Roman"/>
          <w:b w:val="0"/>
          <w:bCs w:val="0"/>
          <w:color w:val="auto"/>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方正楷体_GBK" w:hAnsi="方正楷体_GBK" w:eastAsia="方正楷体_GBK" w:cs="方正楷体_GBK"/>
          <w:b w:val="0"/>
          <w:bCs w:val="0"/>
          <w:color w:val="auto"/>
          <w:sz w:val="32"/>
          <w:szCs w:val="32"/>
          <w:shd w:val="clear" w:color="auto" w:fill="FFFFFF"/>
        </w:rPr>
        <w:t> （十二）“三公”经费：</w:t>
      </w:r>
      <w:r>
        <w:rPr>
          <w:rFonts w:hint="default" w:ascii="Times New Roman" w:hAnsi="Times New Roman" w:eastAsia="方正仿宋_GBK" w:cs="Times New Roman"/>
          <w:b w:val="0"/>
          <w:bCs w:val="0"/>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方正楷体_GBK" w:hAnsi="方正楷体_GBK" w:eastAsia="方正楷体_GBK" w:cs="方正楷体_GBK"/>
          <w:b w:val="0"/>
          <w:bCs w:val="0"/>
          <w:color w:val="auto"/>
          <w:sz w:val="32"/>
          <w:szCs w:val="32"/>
          <w:shd w:val="clear" w:color="auto" w:fill="FFFFFF"/>
        </w:rPr>
        <w:t> （十三）机关运行经费：</w:t>
      </w:r>
      <w:r>
        <w:rPr>
          <w:rFonts w:hint="default" w:ascii="Times New Roman" w:hAnsi="Times New Roman" w:eastAsia="方正仿宋_GBK" w:cs="Times New Roman"/>
          <w:b w:val="0"/>
          <w:bCs w:val="0"/>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 </w:t>
      </w:r>
      <w:r>
        <w:rPr>
          <w:rFonts w:hint="default" w:ascii="方正楷体_GBK" w:hAnsi="方正楷体_GBK" w:eastAsia="方正楷体_GBK" w:cs="方正楷体_GBK"/>
          <w:b w:val="0"/>
          <w:bCs w:val="0"/>
          <w:color w:val="auto"/>
          <w:sz w:val="32"/>
          <w:szCs w:val="32"/>
          <w:shd w:val="clear" w:color="auto" w:fill="FFFFFF"/>
        </w:rPr>
        <w:t>（十四）工资福利支出（支出经济分类科目类级）：</w:t>
      </w:r>
      <w:r>
        <w:rPr>
          <w:rFonts w:hint="default" w:ascii="Times New Roman" w:hAnsi="Times New Roman" w:eastAsia="方正仿宋_GBK" w:cs="Times New Roman"/>
          <w:b w:val="0"/>
          <w:bCs w:val="0"/>
          <w:color w:val="auto"/>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 </w:t>
      </w:r>
      <w:r>
        <w:rPr>
          <w:rFonts w:hint="default" w:ascii="方正楷体_GBK" w:hAnsi="方正楷体_GBK" w:eastAsia="方正楷体_GBK" w:cs="方正楷体_GBK"/>
          <w:b w:val="0"/>
          <w:bCs w:val="0"/>
          <w:color w:val="auto"/>
          <w:sz w:val="32"/>
          <w:szCs w:val="32"/>
          <w:shd w:val="clear" w:color="auto" w:fill="FFFFFF"/>
        </w:rPr>
        <w:t>（十五）商品和服务支出（支出经济分类科目类级）：</w:t>
      </w:r>
      <w:r>
        <w:rPr>
          <w:rFonts w:hint="default" w:ascii="Times New Roman" w:hAnsi="Times New Roman" w:eastAsia="方正仿宋_GBK" w:cs="Times New Roman"/>
          <w:b w:val="0"/>
          <w:bCs w:val="0"/>
          <w:color w:val="auto"/>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方正楷体_GBK" w:hAnsi="方正楷体_GBK" w:eastAsia="方正楷体_GBK" w:cs="方正楷体_GBK"/>
          <w:b w:val="0"/>
          <w:bCs w:val="0"/>
          <w:color w:val="auto"/>
          <w:sz w:val="32"/>
          <w:szCs w:val="32"/>
          <w:shd w:val="clear" w:color="auto" w:fill="FFFFFF"/>
        </w:rPr>
        <w:t> （十六）对个人和家庭的补助（支出经济分类科目类级）：</w:t>
      </w:r>
      <w:r>
        <w:rPr>
          <w:rFonts w:hint="default" w:ascii="Times New Roman" w:hAnsi="Times New Roman" w:eastAsia="方正仿宋_GBK" w:cs="Times New Roman"/>
          <w:b w:val="0"/>
          <w:bCs w:val="0"/>
          <w:color w:val="auto"/>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Style w:val="11"/>
          <w:rFonts w:hint="default" w:ascii="Times New Roman" w:hAnsi="Times New Roman" w:eastAsia="方正仿宋_GBK" w:cs="Times New Roman"/>
          <w:b w:val="0"/>
          <w:bCs w:val="0"/>
          <w:color w:val="auto"/>
          <w:sz w:val="32"/>
          <w:szCs w:val="32"/>
          <w:shd w:val="clear" w:color="auto" w:fill="FFFFFF"/>
        </w:rPr>
        <w:t> </w:t>
      </w:r>
      <w:r>
        <w:rPr>
          <w:rFonts w:hint="default" w:ascii="方正楷体_GBK" w:hAnsi="方正楷体_GBK" w:eastAsia="方正楷体_GBK" w:cs="方正楷体_GBK"/>
          <w:b w:val="0"/>
          <w:bCs w:val="0"/>
          <w:color w:val="auto"/>
          <w:sz w:val="32"/>
          <w:szCs w:val="32"/>
          <w:shd w:val="clear" w:color="auto" w:fill="FFFFFF"/>
        </w:rPr>
        <w:t>（十七）其他资本性支出（支出经济分类科目类级）：</w:t>
      </w:r>
      <w:r>
        <w:rPr>
          <w:rFonts w:hint="default" w:ascii="Times New Roman" w:hAnsi="Times New Roman" w:eastAsia="方正仿宋_GBK" w:cs="Times New Roman"/>
          <w:b w:val="0"/>
          <w:bCs w:val="0"/>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Style w:val="11"/>
          <w:rFonts w:hint="eastAsia" w:ascii="方正黑体_GBK" w:hAnsi="方正黑体_GBK" w:eastAsia="方正黑体_GBK" w:cs="方正黑体_GBK"/>
          <w:color w:val="auto"/>
          <w:sz w:val="32"/>
          <w:szCs w:val="32"/>
          <w:shd w:val="clear" w:color="auto" w:fill="FFFFFF"/>
        </w:rPr>
      </w:pPr>
      <w:r>
        <w:rPr>
          <w:rStyle w:val="11"/>
          <w:rFonts w:hint="eastAsia" w:ascii="方正黑体_GBK" w:hAnsi="方正黑体_GBK" w:eastAsia="方正黑体_GBK" w:cs="方正黑体_GBK"/>
          <w:color w:val="auto"/>
          <w:sz w:val="32"/>
          <w:szCs w:val="32"/>
          <w:shd w:val="clear" w:color="auto" w:fill="FFFFFF"/>
        </w:rPr>
        <w:t xml:space="preserve"> </w:t>
      </w:r>
      <w:r>
        <w:rPr>
          <w:rStyle w:val="11"/>
          <w:rFonts w:hint="eastAsia" w:ascii="方正黑体_GBK" w:hAnsi="方正黑体_GBK" w:eastAsia="方正黑体_GBK" w:cs="方正黑体_GBK"/>
          <w:b w:val="0"/>
          <w:bCs/>
          <w:color w:val="auto"/>
          <w:sz w:val="32"/>
          <w:szCs w:val="32"/>
          <w:shd w:val="clear" w:color="auto" w:fill="FFFFFF"/>
          <w:lang w:val="en-US" w:eastAsia="zh-CN" w:bidi="ar-SA"/>
        </w:rPr>
        <w:t>七、决算公开联系方式及信息反馈渠道</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Times New Roman" w:hAnsi="Times New Roman" w:eastAsia="方正仿宋_GBK" w:cs="Times New Roman"/>
          <w:color w:val="auto"/>
          <w:sz w:val="32"/>
          <w:szCs w:val="32"/>
          <w:shd w:val="clear" w:color="auto" w:fill="FFFF00"/>
          <w:lang w:eastAsia="zh-CN"/>
        </w:rPr>
        <w:sectPr>
          <w:footerReference r:id="rId3" w:type="default"/>
          <w:pgSz w:w="11915" w:h="16840"/>
          <w:pgMar w:top="1984" w:right="1446" w:bottom="1644" w:left="1446" w:header="851" w:footer="992" w:gutter="0"/>
          <w:pgNumType w:fmt="numberInDash"/>
          <w:cols w:space="720" w:num="1"/>
          <w:docGrid w:type="lines" w:linePitch="312" w:charSpace="0"/>
        </w:sectPr>
      </w:pPr>
      <w:r>
        <w:rPr>
          <w:rFonts w:hint="default" w:ascii="Times New Roman" w:hAnsi="Times New Roman" w:eastAsia="方正仿宋_GBK" w:cs="Times New Roman"/>
          <w:color w:val="auto"/>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lang w:val="en-US" w:eastAsia="zh-CN"/>
        </w:rPr>
        <w:t>54238327。</w:t>
      </w:r>
    </w:p>
    <w:p>
      <w:pPr>
        <w:rPr>
          <w:rFonts w:hint="default" w:cs="宋体"/>
          <w:sz w:val="21"/>
          <w:szCs w:val="21"/>
        </w:rPr>
      </w:pPr>
      <w:bookmarkStart w:id="0" w:name="_GoBack"/>
      <w:bookmarkEnd w:id="0"/>
    </w:p>
    <w:tbl>
      <w:tblPr>
        <w:tblStyle w:val="8"/>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重庆市忠县人民代表大会常务委员会办公室</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1,792.28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1,413.92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250.66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53.27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74.43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1,792.28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1,792.28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1,792.28</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1,792.28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重庆市忠县人民代表大会常务委员会办公室</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1,792.28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1,792.28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1,413.92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1,413.92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1,413.92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1,413.92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重庆市忠县人民代表大会常务委员会办公室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1,792.28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1,352.92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439.36</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1,413.92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974.56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439.36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1,413.92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974.56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439.36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439.36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重庆市忠县人民代表大会常务委员会办公室</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1,792.28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1,413.92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1,413.92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1,792.28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1,792.28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1,792.28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1,792.28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1,792.28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1,792.28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重庆市忠县人民代表大会常务委员会办公室</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1,792.28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1,352.92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439.36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1,413.92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974.56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439.36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1,413.92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974.56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439.36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870.47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870.47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439.36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439.36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104.09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250.66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250.66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89.44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44.72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74.43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74.43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74.43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重庆市忠县人民代表大会常务委员会办公室</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1,015.00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225.58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334.28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44.72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174.72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1,189.72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163.20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重庆市忠县人民代表大会常务委员会办公室</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重庆市忠县人民代表大会常务委员会办公室</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重庆市忠县人民代表大会常务委员会办公室</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150.24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22.00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22.00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150.24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63.52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75.55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文本框 1"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path/>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WE0ZjgzOWVjYTFhZThmOGYxZTlhYzY0MzkzMmQ2MTcifQ=="/>
  </w:docVars>
  <w:rsids>
    <w:rsidRoot w:val="00B03CCD"/>
    <w:rsid w:val="000C01CC"/>
    <w:rsid w:val="000D7702"/>
    <w:rsid w:val="002D0E5A"/>
    <w:rsid w:val="002E5443"/>
    <w:rsid w:val="0032196C"/>
    <w:rsid w:val="004C12FF"/>
    <w:rsid w:val="00550ABE"/>
    <w:rsid w:val="005B023C"/>
    <w:rsid w:val="00600322"/>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24A06"/>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autoRedefine/>
    <w:unhideWhenUsed/>
    <w:qFormat/>
    <w:uiPriority w:val="0"/>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autoRedefine/>
    <w:qFormat/>
    <w:uiPriority w:val="0"/>
    <w:rPr>
      <w:b/>
    </w:rPr>
  </w:style>
  <w:style w:type="paragraph" w:customStyle="1" w:styleId="12">
    <w:name w:val="列出段落1"/>
    <w:basedOn w:val="1"/>
    <w:autoRedefine/>
    <w:qFormat/>
    <w:uiPriority w:val="99"/>
    <w:pPr>
      <w:ind w:firstLine="420" w:firstLineChars="200"/>
    </w:pPr>
    <w:rPr>
      <w:rFonts w:hint="default"/>
    </w:rPr>
  </w:style>
  <w:style w:type="paragraph" w:customStyle="1" w:styleId="13">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autoRedefine/>
    <w:qFormat/>
    <w:uiPriority w:val="0"/>
    <w:rPr>
      <w:rFonts w:hint="default" w:ascii="Wingdings" w:hAnsi="Wingdings" w:cs="Wingdings"/>
      <w:b/>
      <w:bCs/>
    </w:rPr>
  </w:style>
  <w:style w:type="paragraph" w:customStyle="1" w:styleId="15">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4095</Words>
  <Characters>23348</Characters>
  <Lines>194</Lines>
  <Paragraphs>54</Paragraphs>
  <TotalTime>0</TotalTime>
  <ScaleCrop>false</ScaleCrop>
  <LinksUpToDate>false</LinksUpToDate>
  <CharactersWithSpaces>27389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2024-10-29T04:57:50Z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BB46EABDBB2749749395447164B066B3_12</vt:lpwstr>
  </property>
</Properties>
</file>