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kern w:val="0"/>
        </w:rPr>
      </w:pPr>
      <w:r>
        <w:rPr>
          <w:rFonts w:hint="default" w:ascii="Times New Roman" w:hAnsi="Times New Roman" w:cs="Times New Roman"/>
          <w:b w:val="0"/>
          <w:bCs w:val="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3060700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60288;mso-width-relative:page;mso-height-relative:page;" filled="f" stroked="t" coordsize="21600,21600" o:gfxdata="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IL257XWAAAACAEAAA8AAAAAAAAAAQAgAAAAOAAAAGRycy9kb3ducmV2LnhtbFBLAQIUABQAAAAI&#10;AIdO4kDi6BQQ2QEAAJkDAAAOAAAAAAAAAAEAIAAAADsBAABkcnMvZTJvRG9jLnhtbFBLBQYAAAAA&#10;BgAGAFkBAACGBQAAAAA=&#10;">
                <v:fill on="f" focussize="0,0"/>
                <v:stroke weight="1.75pt" color="#FF0000" joinstyle="round"/>
                <v:imagedata o:title=""/>
                <o:lock v:ext="edit" aspectratio="f"/>
              </v:line>
            </w:pict>
          </mc:Fallback>
        </mc:AlternateContent>
      </w:r>
    </w:p>
    <w:p>
      <w:pPr>
        <w:ind w:firstLine="640"/>
        <w:rPr>
          <w:rFonts w:hint="default" w:ascii="Times New Roman" w:hAnsi="Times New Roman" w:cs="Times New Roman"/>
          <w:b w:val="0"/>
          <w:bCs w:val="0"/>
        </w:rPr>
      </w:pPr>
      <w:r>
        <w:rPr>
          <w:rFonts w:hint="default" w:ascii="Times New Roman" w:hAnsi="Times New Roman" w:cs="Times New Roman"/>
          <w:b w:val="0"/>
          <w:bCs w:val="0"/>
        </w:rPr>
        <w:pict>
          <v:shape id="_x0000_s1027" o:spid="_x0000_s1027" o:spt="136" type="#_x0000_t136" style="position:absolute;left:0pt;margin-left:87.3pt;margin-top:56.85pt;height:46.4pt;width:354.75pt;mso-position-horizontal-relative:page;mso-position-vertical-relative:margin;z-index:251661312;mso-width-relative:page;mso-height-relative:page;" fillcolor="#FF0000" filled="t" stroked="f" coordsize="21600,21600" adj="10800">
            <v:path/>
            <v:fill on="t" color2="#FFFFFF" focussize="0,0"/>
            <v:stroke on="f"/>
            <v:imagedata o:title=""/>
            <o:lock v:ext="edit" aspectratio="f"/>
            <v:textpath on="t" fitshape="t" fitpath="t" trim="t" xscale="f" string="重 庆 市 应 急 管 理 局" style="font-family:方正小标宋_GBK;font-size:36pt;font-weight:bold;v-text-align:center;"/>
          </v:shape>
        </w:pict>
      </w:r>
    </w:p>
    <w:p>
      <w:pPr>
        <w:ind w:firstLine="640"/>
        <w:rPr>
          <w:rFonts w:hint="default" w:ascii="Times New Roman" w:hAnsi="Times New Roman" w:cs="Times New Roman"/>
          <w:b w:val="0"/>
          <w:bCs w:val="0"/>
        </w:rPr>
      </w:pPr>
      <w:r>
        <w:rPr>
          <w:rFonts w:hint="default" w:ascii="Times New Roman" w:hAnsi="Times New Roman" w:cs="Times New Roman"/>
          <w:b w:val="0"/>
          <w:bCs w:val="0"/>
        </w:rPr>
        <w:pict>
          <v:shape id="_x0000_s1028" o:spid="_x0000_s1028" o:spt="136" type="#_x0000_t136" style="position:absolute;left:0pt;margin-left:444.45pt;margin-top:78.85pt;height:60.4pt;width:82.85pt;mso-position-horizontal-relative:page;mso-position-vertical-relative:margin;z-index:251662336;mso-width-relative:page;mso-height-relative:page;" fillcolor="#FF0000" filled="t" stroked="f" coordsize="21600,21600" adj="10800">
            <v:path/>
            <v:fill on="t" color2="#FFFFFF" focussize="0,0"/>
            <v:stroke on="f"/>
            <v:imagedata o:title=""/>
            <o:lock v:ext="edit" aspectratio="f"/>
            <v:textpath on="t" fitshape="t" fitpath="t" trim="t" xscale="f" string="文件" style="font-family:方正小标宋_GBK;font-size:32pt;v-text-align:center;"/>
          </v:shape>
        </w:pict>
      </w:r>
    </w:p>
    <w:p>
      <w:pPr>
        <w:ind w:firstLine="640"/>
        <w:rPr>
          <w:rFonts w:hint="default" w:ascii="Times New Roman" w:hAnsi="Times New Roman" w:cs="Times New Roman"/>
          <w:b w:val="0"/>
          <w:bCs w:val="0"/>
        </w:rPr>
      </w:pPr>
      <w:r>
        <w:rPr>
          <w:rFonts w:hint="default" w:ascii="Times New Roman" w:hAnsi="Times New Roman" w:cs="Times New Roman"/>
          <w:b w:val="0"/>
          <w:bCs w:val="0"/>
        </w:rPr>
        <w:pict>
          <v:shape id="_x0000_s1029" o:spid="_x0000_s1029" o:spt="136" type="#_x0000_t136" style="position:absolute;left:0pt;margin-left:87.45pt;margin-top:111.7pt;height:48.45pt;width:355.8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国家矿山安全监察局重庆局" style="font-family:方正小标宋_GBK;font-size:36pt;font-weight:bold;v-text-align:center;"/>
          </v:shape>
        </w:pict>
      </w:r>
    </w:p>
    <w:p>
      <w:pPr>
        <w:ind w:firstLine="640"/>
        <w:rPr>
          <w:rFonts w:hint="default" w:ascii="Times New Roman" w:hAnsi="Times New Roman" w:cs="Times New Roman"/>
          <w:b w:val="0"/>
          <w:bCs w:val="0"/>
        </w:rPr>
      </w:pPr>
    </w:p>
    <w:p>
      <w:pPr>
        <w:ind w:firstLine="640"/>
        <w:rPr>
          <w:rFonts w:hint="default" w:ascii="Times New Roman" w:hAnsi="Times New Roman" w:cs="Times New Roman"/>
          <w:b w:val="0"/>
          <w:bCs w:val="0"/>
        </w:rPr>
      </w:pPr>
    </w:p>
    <w:p>
      <w:pPr>
        <w:spacing w:before="115" w:beforeLines="20"/>
        <w:ind w:firstLine="640"/>
        <w:rPr>
          <w:rFonts w:hint="default" w:ascii="Times New Roman" w:hAnsi="Times New Roman" w:cs="Times New Roman"/>
          <w:b w:val="0"/>
          <w:bCs w:val="0"/>
        </w:rPr>
      </w:pPr>
    </w:p>
    <w:p>
      <w:pPr>
        <w:jc w:val="center"/>
        <w:rPr>
          <w:rFonts w:hint="default" w:ascii="Times New Roman" w:hAnsi="Times New Roman" w:cs="Times New Roman"/>
          <w:b w:val="0"/>
          <w:bCs w:val="0"/>
        </w:rPr>
      </w:pPr>
      <w:r>
        <w:rPr>
          <w:rFonts w:hint="default" w:ascii="Times New Roman" w:hAnsi="Times New Roman" w:cs="Times New Roman"/>
          <w:b w:val="0"/>
          <w:bCs w:val="0"/>
        </w:rPr>
        <w:t>渝</w:t>
      </w:r>
      <w:r>
        <w:rPr>
          <w:rFonts w:hint="default" w:ascii="Times New Roman" w:hAnsi="Times New Roman" w:cs="Times New Roman"/>
          <w:b w:val="0"/>
          <w:bCs w:val="0"/>
          <w:lang w:eastAsia="zh-CN"/>
        </w:rPr>
        <w:t>应急发</w:t>
      </w:r>
      <w:r>
        <w:rPr>
          <w:rFonts w:hint="default" w:ascii="Times New Roman" w:hAnsi="Times New Roman" w:cs="Times New Roman"/>
          <w:b w:val="0"/>
          <w:bCs w:val="0"/>
          <w:color w:val="000000"/>
          <w:kern w:val="0"/>
          <w:szCs w:val="32"/>
        </w:rPr>
        <w:t>〔20</w:t>
      </w:r>
      <w:r>
        <w:rPr>
          <w:rFonts w:hint="default" w:ascii="Times New Roman" w:hAnsi="Times New Roman" w:cs="Times New Roman"/>
          <w:b w:val="0"/>
          <w:bCs w:val="0"/>
          <w:color w:val="000000"/>
          <w:kern w:val="0"/>
          <w:szCs w:val="32"/>
          <w:lang w:val="en-US" w:eastAsia="zh-CN"/>
        </w:rPr>
        <w:t>22</w:t>
      </w:r>
      <w:r>
        <w:rPr>
          <w:rFonts w:hint="default" w:ascii="Times New Roman" w:hAnsi="Times New Roman" w:cs="Times New Roman"/>
          <w:b w:val="0"/>
          <w:bCs w:val="0"/>
          <w:color w:val="000000"/>
          <w:kern w:val="0"/>
          <w:szCs w:val="32"/>
        </w:rPr>
        <w:t>〕</w:t>
      </w:r>
      <w:r>
        <w:rPr>
          <w:rFonts w:hint="default" w:ascii="Times New Roman" w:hAnsi="Times New Roman" w:cs="Times New Roman"/>
          <w:b w:val="0"/>
          <w:bCs w:val="0"/>
          <w:color w:val="000000"/>
          <w:kern w:val="0"/>
          <w:szCs w:val="32"/>
          <w:lang w:val="en-US" w:eastAsia="zh-CN"/>
        </w:rPr>
        <w:t>32</w:t>
      </w:r>
      <w:r>
        <w:rPr>
          <w:rFonts w:hint="default" w:ascii="Times New Roman" w:hAnsi="Times New Roman" w:cs="Times New Roman"/>
          <w:b w:val="0"/>
          <w:bCs w:val="0"/>
          <w:color w:val="000000"/>
          <w:kern w:val="0"/>
          <w:szCs w:val="32"/>
        </w:rPr>
        <w:t>号</w:t>
      </w:r>
    </w:p>
    <w:p>
      <w:pPr>
        <w:pStyle w:val="11"/>
        <w:adjustRightInd/>
        <w:jc w:val="both"/>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val="0"/>
        <w:spacing w:line="240" w:lineRule="auto"/>
        <w:ind w:left="1580" w:leftChars="500" w:right="1580" w:rightChars="500" w:firstLine="0" w:firstLineChars="0"/>
        <w:jc w:val="distribute"/>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重庆市应急管理局</w:t>
      </w:r>
    </w:p>
    <w:p>
      <w:pPr>
        <w:keepNext w:val="0"/>
        <w:keepLines w:val="0"/>
        <w:pageBreakBefore w:val="0"/>
        <w:widowControl w:val="0"/>
        <w:kinsoku/>
        <w:wordWrap/>
        <w:overflowPunct/>
        <w:topLinePunct w:val="0"/>
        <w:autoSpaceDE/>
        <w:autoSpaceDN/>
        <w:bidi w:val="0"/>
        <w:adjustRightInd/>
        <w:snapToGrid w:val="0"/>
        <w:spacing w:line="240" w:lineRule="auto"/>
        <w:ind w:left="1580" w:leftChars="500" w:right="1580" w:rightChars="500"/>
        <w:jc w:val="distribute"/>
        <w:textAlignment w:val="auto"/>
        <w:outlineLvl w:val="9"/>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国家矿山安全监察局重庆局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小标宋_GBK" w:cs="Times New Roman"/>
          <w:bCs/>
          <w:color w:val="000000" w:themeColor="text1"/>
          <w:sz w:val="44"/>
          <w:szCs w:val="44"/>
          <w14:textFill>
            <w14:solidFill>
              <w14:schemeClr w14:val="tx1"/>
            </w14:solidFill>
          </w14:textFill>
        </w:rPr>
      </w:pPr>
      <w:r>
        <w:rPr>
          <w:rFonts w:hint="default" w:ascii="Times New Roman" w:hAnsi="Times New Roman" w:eastAsia="方正小标宋_GBK" w:cs="Times New Roman"/>
          <w:bCs/>
          <w:color w:val="000000" w:themeColor="text1"/>
          <w:sz w:val="44"/>
          <w:szCs w:val="44"/>
          <w14:textFill>
            <w14:solidFill>
              <w14:schemeClr w14:val="tx1"/>
            </w14:solidFill>
          </w14:textFill>
        </w:rPr>
        <w:t>关于对全市</w:t>
      </w:r>
      <w:r>
        <w:rPr>
          <w:rFonts w:hint="default" w:ascii="Times New Roman" w:hAnsi="Times New Roman" w:eastAsia="方正小标宋_GBK" w:cs="Times New Roman"/>
          <w:bCs/>
          <w:color w:val="000000" w:themeColor="text1"/>
          <w:sz w:val="44"/>
          <w:szCs w:val="44"/>
          <w:lang w:val="en-US" w:eastAsia="zh-CN"/>
          <w14:textFill>
            <w14:solidFill>
              <w14:schemeClr w14:val="tx1"/>
            </w14:solidFill>
          </w14:textFill>
        </w:rPr>
        <w:t>金属非金属</w:t>
      </w:r>
      <w:r>
        <w:rPr>
          <w:rFonts w:hint="default" w:ascii="Times New Roman" w:hAnsi="Times New Roman" w:eastAsia="方正小标宋_GBK" w:cs="Times New Roman"/>
          <w:bCs/>
          <w:color w:val="000000" w:themeColor="text1"/>
          <w:sz w:val="44"/>
          <w:szCs w:val="44"/>
          <w14:textFill>
            <w14:solidFill>
              <w14:schemeClr w14:val="tx1"/>
            </w14:solidFill>
          </w14:textFill>
        </w:rPr>
        <w:t>地下矿山开展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小标宋_GBK" w:cs="Times New Roman"/>
          <w:bCs/>
          <w:color w:val="000000" w:themeColor="text1"/>
          <w:sz w:val="44"/>
          <w:szCs w:val="44"/>
          <w14:textFill>
            <w14:solidFill>
              <w14:schemeClr w14:val="tx1"/>
            </w14:solidFill>
          </w14:textFill>
        </w:rPr>
      </w:pPr>
      <w:r>
        <w:rPr>
          <w:rFonts w:hint="default" w:ascii="Times New Roman" w:hAnsi="Times New Roman" w:eastAsia="方正小标宋_GBK" w:cs="Times New Roman"/>
          <w:bCs/>
          <w:color w:val="000000" w:themeColor="text1"/>
          <w:sz w:val="44"/>
          <w:szCs w:val="44"/>
          <w14:textFill>
            <w14:solidFill>
              <w14:schemeClr w14:val="tx1"/>
            </w14:solidFill>
          </w14:textFill>
        </w:rPr>
        <w:t>安全风险</w:t>
      </w:r>
      <w:r>
        <w:rPr>
          <w:rFonts w:hint="default" w:ascii="Times New Roman" w:hAnsi="Times New Roman" w:eastAsia="方正小标宋_GBK" w:cs="Times New Roman"/>
          <w:bCs/>
          <w:color w:val="000000" w:themeColor="text1"/>
          <w:sz w:val="44"/>
          <w:szCs w:val="44"/>
          <w:lang w:eastAsia="zh-CN"/>
          <w14:textFill>
            <w14:solidFill>
              <w14:schemeClr w14:val="tx1"/>
            </w14:solidFill>
          </w14:textFill>
        </w:rPr>
        <w:t>大</w:t>
      </w:r>
      <w:r>
        <w:rPr>
          <w:rFonts w:hint="default" w:ascii="Times New Roman" w:hAnsi="Times New Roman" w:eastAsia="方正小标宋_GBK" w:cs="Times New Roman"/>
          <w:bCs/>
          <w:color w:val="000000" w:themeColor="text1"/>
          <w:sz w:val="44"/>
          <w:szCs w:val="44"/>
          <w14:textFill>
            <w14:solidFill>
              <w14:schemeClr w14:val="tx1"/>
            </w14:solidFill>
          </w14:textFill>
        </w:rPr>
        <w:t>诊断的通知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Times New Roman" w:hAnsi="Times New Roman" w:eastAsia="方正小标宋_GBK" w:cs="Times New Roman"/>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有关</w:t>
      </w:r>
      <w:r>
        <w:rPr>
          <w:rFonts w:hint="default" w:ascii="Times New Roman" w:hAnsi="Times New Roman" w:eastAsia="方正仿宋_GBK" w:cs="Times New Roman"/>
          <w:color w:val="000000" w:themeColor="text1"/>
          <w:sz w:val="32"/>
          <w:szCs w:val="32"/>
          <w14:textFill>
            <w14:solidFill>
              <w14:schemeClr w14:val="tx1"/>
            </w14:solidFill>
          </w14:textFill>
        </w:rPr>
        <w:t>区县（自治县）应急局，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有关企业</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为深化“安全大检查、迎接二十大”活动，有效防范化解地下矿山重大安全风险，坚决遏制生产安全事故，</w:t>
      </w:r>
      <w:r>
        <w:rPr>
          <w:rFonts w:hint="default" w:ascii="Times New Roman" w:hAnsi="Times New Roman" w:eastAsia="方正仿宋_GBK" w:cs="Times New Roman"/>
          <w:color w:val="000000" w:themeColor="text1"/>
          <w:sz w:val="32"/>
          <w:szCs w:val="32"/>
          <w14:textFill>
            <w14:solidFill>
              <w14:schemeClr w14:val="tx1"/>
            </w14:solidFill>
          </w14:textFill>
        </w:rPr>
        <w:t>根据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国家矿监局和市政府文件要求，拟对全市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金属非金属</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地下矿山开展安全风险大诊断，现就有关要求</w:t>
      </w:r>
      <w:r>
        <w:rPr>
          <w:rFonts w:hint="default" w:ascii="Times New Roman" w:hAnsi="Times New Roman" w:eastAsia="方正仿宋_GBK" w:cs="Times New Roman"/>
          <w:color w:val="000000" w:themeColor="text1"/>
          <w:sz w:val="32"/>
          <w:szCs w:val="32"/>
          <w14:textFill>
            <w14:solidFill>
              <w14:schemeClr w14:val="tx1"/>
            </w14:solidFill>
          </w14:textFill>
        </w:rPr>
        <w:t>通知如下：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黑体_GBK" w:cs="Times New Roman"/>
          <w:bCs/>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立足“</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摸清家底、因矿施策、整改提升”的要求开展大诊断，务求情况明、措施对、有实效。</w:t>
      </w:r>
      <w:r>
        <w:rPr>
          <w:rFonts w:hint="default" w:ascii="Times New Roman" w:hAnsi="Times New Roman" w:eastAsia="方正仿宋_GBK" w:cs="Times New Roman"/>
          <w:sz w:val="32"/>
          <w:szCs w:val="32"/>
          <w:lang w:eastAsia="zh-CN"/>
        </w:rPr>
        <w:t>本次大诊断重在为基层和企业提供服务，对发现的问题不停产、不罚款、不追责。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摸清家底：通过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地下矿山全覆盖诊断，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摸清其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固有风险</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和风险控制程度，掌握全市所有地下矿山的综合风险等级，做到家底清、情况明、心中有数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因矿施策：对诊断出的问题，分析原因、提出对策，为部门分类指导和日常监管提供决策，最大限度服务基层。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整改提升</w:t>
      </w:r>
      <w:r>
        <w:rPr>
          <w:rFonts w:hint="default" w:ascii="Times New Roman" w:hAnsi="Times New Roman" w:eastAsia="方正仿宋_GBK" w:cs="Times New Roman"/>
          <w:sz w:val="32"/>
          <w:szCs w:val="32"/>
          <w:lang w:val="en-US" w:eastAsia="zh-CN"/>
        </w:rPr>
        <w:t>：通过把脉问诊，</w:t>
      </w:r>
      <w:r>
        <w:rPr>
          <w:rFonts w:hint="default" w:ascii="Times New Roman" w:hAnsi="Times New Roman" w:eastAsia="方正仿宋_GBK" w:cs="Times New Roman"/>
          <w:sz w:val="32"/>
          <w:szCs w:val="32"/>
          <w:lang w:eastAsia="zh-CN"/>
        </w:rPr>
        <w:t>提出“一企一策”整改措施，为企业安全管理提供良方，最大限度服务企业。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lang w:eastAsia="zh-CN"/>
          <w14:textFill>
            <w14:solidFill>
              <w14:schemeClr w14:val="tx1"/>
            </w14:solidFill>
          </w14:textFill>
        </w:rPr>
        <w:t>二、实施对象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全市在产在建的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金属非金属</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地下开采矿山；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停产停建的地下矿山应在复工复产后，由所在区县应急局及时向市局申请，组建专家组完成该项工作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黑体_GBK" w:cs="Times New Roman"/>
          <w:bCs/>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lang w:eastAsia="zh-CN"/>
          <w14:textFill>
            <w14:solidFill>
              <w14:schemeClr w14:val="tx1"/>
            </w14:solidFill>
          </w14:textFill>
        </w:rPr>
        <w:t>三</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lang w:eastAsia="zh-CN"/>
          <w14:textFill>
            <w14:solidFill>
              <w14:schemeClr w14:val="tx1"/>
            </w14:solidFill>
          </w14:textFill>
        </w:rPr>
        <w:t>主要措施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一</w:t>
      </w: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安保互动。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充分发挥</w:t>
      </w:r>
      <w:r>
        <w:rPr>
          <w:rFonts w:hint="default" w:ascii="Times New Roman" w:hAnsi="Times New Roman" w:eastAsia="方正仿宋_GBK" w:cs="Times New Roman"/>
          <w:color w:val="000000" w:themeColor="text1"/>
          <w:sz w:val="32"/>
          <w:szCs w:val="32"/>
          <w14:textFill>
            <w14:solidFill>
              <w14:schemeClr w14:val="tx1"/>
            </w14:solidFill>
          </w14:textFill>
        </w:rPr>
        <w:t>保险机构风险管控和事故预防功能</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，积极探索建立安全生产与“安责险”良性互动工作机制，发挥社会力量参与支持矿山安全生产工作。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二</w:t>
      </w: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）专家担纲。</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聘请采矿、地质、通风、机电、安全等专业技术专家开展风险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大诊断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发挥“安责险”专家和市政府专家组技术支撑作用，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彻查隐患，彻改问题，彻消事故</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三</w:t>
      </w: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标准引领。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按照国家矿监局《关于加强非煤矿山安全生产工作的指导意见》（矿安〔2022〕4号）、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《关于进一步强化安全生产责任落实坚决防范遏制矿山重特大事故的若干措施》（</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矿安〔2022〕70号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）、《关于开展矿山安全生产大检查工作的通知》（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矿安〔2022〕71号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）、《关于开展非煤地下矿山隐蔽致灾因素普查治理工作的通知》（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矿安〔2022〕76号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等文件要求，结合《非煤矿山重大风险管控清单指南》《金属非金属矿山安全规程》（GB 16423-2020）等标准，编制《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金属非金属地下矿山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安全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风险诊断评估细则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》（见附件），突出关键和重点，对标开展大</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诊断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四</w:t>
      </w: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一周一企。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大诊断要深入地下矿每条巷道、每个系统，确保重点部位全覆盖，原则上每座矿山诊断不少于</w:t>
      </w:r>
      <w:r>
        <w:rPr>
          <w:rFonts w:hint="default" w:ascii="Times New Roman" w:hAnsi="Times New Roman" w:eastAsia="方正仿宋_GBK" w:cs="Times New Roman"/>
          <w:color w:val="000000" w:themeColor="text1"/>
          <w:sz w:val="32"/>
          <w:szCs w:val="32"/>
          <w14:textFill>
            <w14:solidFill>
              <w14:schemeClr w14:val="tx1"/>
            </w14:solidFill>
          </w14:textFill>
        </w:rPr>
        <w:t>5天。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五</w:t>
      </w: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一企一书。</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每个企业均要编制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诊断评估</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报告，形成“一企一策”，既提供给企业自纠自改，又提供给部门分类监管。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六</w:t>
      </w: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Cs/>
          <w:color w:val="000000" w:themeColor="text1"/>
          <w:sz w:val="32"/>
          <w:szCs w:val="32"/>
          <w:lang w:val="en-US" w:eastAsia="zh-CN"/>
          <w14:textFill>
            <w14:solidFill>
              <w14:schemeClr w14:val="tx1"/>
            </w14:solidFill>
          </w14:textFill>
        </w:rPr>
        <w:t>一企一策。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重点对现场检查和资料查阅发现的问题进行归类，查找致患原因，提出补漏措施，做到“一企一策”。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lang w:val="en-US" w:eastAsia="zh-CN"/>
          <w14:textFill>
            <w14:solidFill>
              <w14:schemeClr w14:val="tx1"/>
            </w14:solidFill>
          </w14:textFill>
        </w:rPr>
        <w:t>四</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lang w:eastAsia="zh-CN"/>
          <w14:textFill>
            <w14:solidFill>
              <w14:schemeClr w14:val="tx1"/>
            </w14:solidFill>
          </w14:textFill>
        </w:rPr>
        <w:t>实施步骤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从即日起至2022年12月底完成诊断评估。专家组到区县工作开展分三个步骤实施。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（一）动员会</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组</w:t>
      </w:r>
      <w:r>
        <w:rPr>
          <w:rFonts w:hint="default" w:ascii="Times New Roman" w:hAnsi="Times New Roman" w:eastAsia="方正仿宋_GBK" w:cs="Times New Roman"/>
          <w:color w:val="000000" w:themeColor="text1"/>
          <w:sz w:val="32"/>
          <w:szCs w:val="32"/>
          <w14:textFill>
            <w14:solidFill>
              <w14:schemeClr w14:val="tx1"/>
            </w14:solidFill>
          </w14:textFill>
        </w:rPr>
        <w:t>每到一个区县，由</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有关</w:t>
      </w:r>
      <w:r>
        <w:rPr>
          <w:rFonts w:hint="default" w:ascii="Times New Roman" w:hAnsi="Times New Roman" w:eastAsia="方正仿宋_GBK" w:cs="Times New Roman"/>
          <w:color w:val="000000" w:themeColor="text1"/>
          <w:sz w:val="32"/>
          <w:szCs w:val="32"/>
          <w14:textFill>
            <w14:solidFill>
              <w14:schemeClr w14:val="tx1"/>
            </w14:solidFill>
          </w14:textFill>
        </w:rPr>
        <w:t>区县应急局组织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辖区内所有地下矿山</w:t>
      </w:r>
      <w:r>
        <w:rPr>
          <w:rFonts w:hint="default" w:ascii="Times New Roman" w:hAnsi="Times New Roman" w:eastAsia="方正仿宋_GBK" w:cs="Times New Roman"/>
          <w:color w:val="000000" w:themeColor="text1"/>
          <w:sz w:val="32"/>
          <w:szCs w:val="32"/>
          <w14:textFill>
            <w14:solidFill>
              <w14:schemeClr w14:val="tx1"/>
            </w14:solidFill>
          </w14:textFill>
        </w:rPr>
        <w:t>企业召开动员</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培训会</w:t>
      </w:r>
      <w:r>
        <w:rPr>
          <w:rFonts w:hint="default" w:ascii="Times New Roman" w:hAnsi="Times New Roman" w:eastAsia="方正仿宋_GBK" w:cs="Times New Roman"/>
          <w:color w:val="000000" w:themeColor="text1"/>
          <w:sz w:val="32"/>
          <w:szCs w:val="32"/>
          <w14:textFill>
            <w14:solidFill>
              <w14:schemeClr w14:val="tx1"/>
            </w14:solidFill>
          </w14:textFill>
        </w:rPr>
        <w:t>，提出安全风险诊断评估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工作</w:t>
      </w:r>
      <w:r>
        <w:rPr>
          <w:rFonts w:hint="default" w:ascii="Times New Roman" w:hAnsi="Times New Roman" w:eastAsia="方正仿宋_GBK" w:cs="Times New Roman"/>
          <w:color w:val="000000" w:themeColor="text1"/>
          <w:sz w:val="32"/>
          <w:szCs w:val="32"/>
          <w14:textFill>
            <w14:solidFill>
              <w14:schemeClr w14:val="tx1"/>
            </w14:solidFill>
          </w14:textFill>
        </w:rPr>
        <w:t>的总体要求，使企业明确安全风险诊断评估的目的、意义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，让企业能自觉配合有关工作</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调研</w:t>
      </w:r>
      <w:r>
        <w:rPr>
          <w:rFonts w:hint="default" w:ascii="Times New Roman" w:hAnsi="Times New Roman" w:eastAsia="方正楷体_GBK" w:cs="Times New Roman"/>
          <w:color w:val="000000" w:themeColor="text1"/>
          <w:sz w:val="32"/>
          <w:szCs w:val="32"/>
          <w14:textFill>
            <w14:solidFill>
              <w14:schemeClr w14:val="tx1"/>
            </w14:solidFill>
          </w14:textFill>
        </w:rPr>
        <w:t>座谈</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评估小组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每</w:t>
      </w:r>
      <w:r>
        <w:rPr>
          <w:rFonts w:hint="default" w:ascii="Times New Roman" w:hAnsi="Times New Roman" w:eastAsia="方正仿宋_GBK" w:cs="Times New Roman"/>
          <w:color w:val="000000" w:themeColor="text1"/>
          <w:sz w:val="32"/>
          <w:szCs w:val="32"/>
          <w14:textFill>
            <w14:solidFill>
              <w14:schemeClr w14:val="tx1"/>
            </w14:solidFill>
          </w14:textFill>
        </w:rPr>
        <w:t>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一座</w:t>
      </w:r>
      <w:r>
        <w:rPr>
          <w:rFonts w:hint="default" w:ascii="Times New Roman" w:hAnsi="Times New Roman" w:eastAsia="方正仿宋_GBK" w:cs="Times New Roman"/>
          <w:color w:val="000000" w:themeColor="text1"/>
          <w:sz w:val="32"/>
          <w:szCs w:val="32"/>
          <w14:textFill>
            <w14:solidFill>
              <w14:schemeClr w14:val="tx1"/>
            </w14:solidFill>
          </w14:textFill>
        </w:rPr>
        <w:t>矿山后，</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由</w:t>
      </w:r>
      <w:r>
        <w:rPr>
          <w:rFonts w:hint="default" w:ascii="Times New Roman" w:hAnsi="Times New Roman" w:eastAsia="方正仿宋_GBK" w:cs="Times New Roman"/>
          <w:color w:val="000000" w:themeColor="text1"/>
          <w:sz w:val="32"/>
          <w:szCs w:val="32"/>
          <w14:textFill>
            <w14:solidFill>
              <w14:schemeClr w14:val="tx1"/>
            </w14:solidFill>
          </w14:textFill>
        </w:rPr>
        <w:t>矿山企业组织有关安全管理人员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和一线从业人员</w:t>
      </w:r>
      <w:r>
        <w:rPr>
          <w:rFonts w:hint="default" w:ascii="Times New Roman" w:hAnsi="Times New Roman" w:eastAsia="方正仿宋_GBK" w:cs="Times New Roman"/>
          <w:color w:val="000000" w:themeColor="text1"/>
          <w:sz w:val="32"/>
          <w:szCs w:val="32"/>
          <w14:textFill>
            <w14:solidFill>
              <w14:schemeClr w14:val="tx1"/>
            </w14:solidFill>
          </w14:textFill>
        </w:rPr>
        <w:t>召开座谈会，主要介绍企业的基本情况</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32"/>
          <w:szCs w:val="32"/>
          <w14:textFill>
            <w14:solidFill>
              <w14:schemeClr w14:val="tx1"/>
            </w14:solidFill>
          </w14:textFill>
        </w:rPr>
        <w:t>近三年安全生产状况等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，同时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评估小组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提出风险诊断评估的有关工作内容和工作要求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专家诊断。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资料查阅</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。重在诊断企业管理，主要查阅企业</w:t>
      </w:r>
      <w:r>
        <w:rPr>
          <w:rFonts w:hint="default" w:ascii="Times New Roman" w:hAnsi="Times New Roman" w:eastAsia="方正仿宋_GBK" w:cs="Times New Roman"/>
          <w:color w:val="000000" w:themeColor="text1"/>
          <w:sz w:val="32"/>
          <w:szCs w:val="32"/>
          <w14:textFill>
            <w14:solidFill>
              <w14:schemeClr w14:val="tx1"/>
            </w14:solidFill>
          </w14:textFill>
        </w:rPr>
        <w:t>安全生产规章制度、隐患排查制度、岗位责任制、操作规程、作业规程、安全技术措施、应急预案、安全风险评估报告、日周月隐患排查记录、安全培训、应急救援预案等资料。</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现场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勘查。重在风险管控程度诊断，重点对</w:t>
      </w:r>
      <w:r>
        <w:rPr>
          <w:rFonts w:hint="default" w:ascii="Times New Roman" w:hAnsi="Times New Roman" w:eastAsia="方正仿宋_GBK" w:cs="Times New Roman"/>
          <w:color w:val="000000" w:themeColor="text1"/>
          <w:sz w:val="32"/>
          <w:szCs w:val="32"/>
          <w14:textFill>
            <w14:solidFill>
              <w14:schemeClr w14:val="tx1"/>
            </w14:solidFill>
          </w14:textFill>
        </w:rPr>
        <w:t>企业采掘工作面、通风系统、提升运输系统、供电系统、防排水、六大系统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现场勘查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，并</w:t>
      </w:r>
      <w:r>
        <w:rPr>
          <w:rFonts w:hint="default" w:ascii="Times New Roman" w:hAnsi="Times New Roman" w:eastAsia="方正仿宋_GBK" w:cs="Times New Roman"/>
          <w:color w:val="000000" w:themeColor="text1"/>
          <w:sz w:val="32"/>
          <w:szCs w:val="32"/>
          <w14:textFill>
            <w14:solidFill>
              <w14:schemeClr w14:val="tx1"/>
            </w14:solidFill>
          </w14:textFill>
        </w:rPr>
        <w:t>形成现场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踏勘</w:t>
      </w:r>
      <w:r>
        <w:rPr>
          <w:rFonts w:hint="default" w:ascii="Times New Roman" w:hAnsi="Times New Roman" w:eastAsia="方正仿宋_GBK" w:cs="Times New Roman"/>
          <w:color w:val="000000" w:themeColor="text1"/>
          <w:sz w:val="32"/>
          <w:szCs w:val="32"/>
          <w14:textFill>
            <w14:solidFill>
              <w14:schemeClr w14:val="tx1"/>
            </w14:solidFill>
          </w14:textFill>
        </w:rPr>
        <w:t>记录</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诊断</w:t>
      </w:r>
      <w:r>
        <w:rPr>
          <w:rFonts w:hint="default" w:ascii="Times New Roman" w:hAnsi="Times New Roman" w:eastAsia="方正仿宋_GBK" w:cs="Times New Roman"/>
          <w:color w:val="000000" w:themeColor="text1"/>
          <w:sz w:val="32"/>
          <w:szCs w:val="32"/>
          <w14:textFill>
            <w14:solidFill>
              <w14:schemeClr w14:val="tx1"/>
            </w14:solidFill>
          </w14:textFill>
        </w:rPr>
        <w:t>评估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按照评估</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细则</w:t>
      </w:r>
      <w:r>
        <w:rPr>
          <w:rFonts w:hint="default" w:ascii="Times New Roman" w:hAnsi="Times New Roman" w:eastAsia="方正仿宋_GBK" w:cs="Times New Roman"/>
          <w:color w:val="000000" w:themeColor="text1"/>
          <w:sz w:val="32"/>
          <w:szCs w:val="32"/>
          <w14:textFill>
            <w14:solidFill>
              <w14:schemeClr w14:val="tx1"/>
            </w14:solidFill>
          </w14:textFill>
        </w:rPr>
        <w:t>，对企业</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固有风险和风险管控程度</w:t>
      </w:r>
      <w:r>
        <w:rPr>
          <w:rFonts w:hint="default" w:ascii="Times New Roman" w:hAnsi="Times New Roman" w:eastAsia="方正仿宋_GBK" w:cs="Times New Roman"/>
          <w:color w:val="000000" w:themeColor="text1"/>
          <w:sz w:val="32"/>
          <w:szCs w:val="32"/>
          <w14:textFill>
            <w14:solidFill>
              <w14:schemeClr w14:val="tx1"/>
            </w14:solidFill>
          </w14:textFill>
        </w:rPr>
        <w:t>进行评分，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通过风险矩阵</w:t>
      </w:r>
      <w:r>
        <w:rPr>
          <w:rFonts w:hint="default" w:ascii="Times New Roman" w:hAnsi="Times New Roman" w:eastAsia="方正仿宋_GBK" w:cs="Times New Roman"/>
          <w:color w:val="000000" w:themeColor="text1"/>
          <w:sz w:val="32"/>
          <w:szCs w:val="32"/>
          <w14:textFill>
            <w14:solidFill>
              <w14:schemeClr w14:val="tx1"/>
            </w14:solidFill>
          </w14:textFill>
        </w:rPr>
        <w:t>进行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分级确定企业风险等级</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编制报告。本次诊断报告，重中之重是根据查出的问题，寻找问题原因，为企业把脉问诊，提出具体整改措施</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提出的对策措施要科学、具体、可操作性强、符合企业实际。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黑体_GBK" w:cs="Times New Roman"/>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（四）意见反馈。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以区县为单位集中反馈诊断情况；报告形成后以书面形式反馈区县应急局。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五</w:t>
      </w:r>
      <w:r>
        <w:rPr>
          <w:rFonts w:hint="default" w:ascii="Times New Roman" w:hAnsi="Times New Roman" w:eastAsia="方正黑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结果</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运</w:t>
      </w:r>
      <w:r>
        <w:rPr>
          <w:rFonts w:hint="default" w:ascii="Times New Roman" w:hAnsi="Times New Roman" w:eastAsia="方正黑体_GBK" w:cs="Times New Roman"/>
          <w:color w:val="000000" w:themeColor="text1"/>
          <w:sz w:val="32"/>
          <w:szCs w:val="32"/>
          <w14:textFill>
            <w14:solidFill>
              <w14:schemeClr w14:val="tx1"/>
            </w14:solidFill>
          </w14:textFill>
        </w:rPr>
        <w:t>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黑体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本次评估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重在服务企业和区县监管部门，</w:t>
      </w:r>
      <w:r>
        <w:rPr>
          <w:rFonts w:hint="default" w:ascii="Times New Roman" w:hAnsi="Times New Roman" w:eastAsia="方正仿宋_GBK" w:cs="Times New Roman"/>
          <w:color w:val="000000" w:themeColor="text1"/>
          <w:sz w:val="32"/>
          <w:szCs w:val="32"/>
          <w14:textFill>
            <w14:solidFill>
              <w14:schemeClr w14:val="tx1"/>
            </w14:solidFill>
          </w14:textFill>
        </w:rPr>
        <w:t>不作为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矿山监管</w:t>
      </w:r>
      <w:r>
        <w:rPr>
          <w:rFonts w:hint="default" w:ascii="Times New Roman" w:hAnsi="Times New Roman" w:eastAsia="方正仿宋_GBK" w:cs="Times New Roman"/>
          <w:color w:val="000000" w:themeColor="text1"/>
          <w:sz w:val="32"/>
          <w:szCs w:val="32"/>
          <w14:textFill>
            <w14:solidFill>
              <w14:schemeClr w14:val="tx1"/>
            </w14:solidFill>
          </w14:textFill>
        </w:rPr>
        <w:t>执法和安全生产标准化评定的依据。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一</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企业自改。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各地下</w:t>
      </w:r>
      <w:r>
        <w:rPr>
          <w:rFonts w:hint="default" w:ascii="Times New Roman" w:hAnsi="Times New Roman" w:eastAsia="方正仿宋_GBK" w:cs="Times New Roman"/>
          <w:color w:val="000000" w:themeColor="text1"/>
          <w:sz w:val="32"/>
          <w:szCs w:val="32"/>
          <w14:textFill>
            <w14:solidFill>
              <w14:schemeClr w14:val="tx1"/>
            </w14:solidFill>
          </w14:textFill>
        </w:rPr>
        <w:t>矿山企业要严格按照安全风险诊断评估研判出的安全隐患和风险分类，逐一对照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自查自改</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有效管控安全风险，切实</w:t>
      </w:r>
      <w:r>
        <w:rPr>
          <w:rFonts w:hint="default" w:ascii="Times New Roman" w:hAnsi="Times New Roman" w:eastAsia="方正仿宋_GBK" w:cs="Times New Roman"/>
          <w:color w:val="000000" w:themeColor="text1"/>
          <w:sz w:val="32"/>
          <w:szCs w:val="32"/>
          <w14:textFill>
            <w14:solidFill>
              <w14:schemeClr w14:val="tx1"/>
            </w14:solidFill>
          </w14:textFill>
        </w:rPr>
        <w:t>消除安全隐患，</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实现</w:t>
      </w:r>
      <w:r>
        <w:rPr>
          <w:rFonts w:hint="default" w:ascii="Times New Roman" w:hAnsi="Times New Roman" w:eastAsia="方正仿宋_GBK" w:cs="Times New Roman"/>
          <w:color w:val="000000" w:themeColor="text1"/>
          <w:sz w:val="32"/>
          <w:szCs w:val="32"/>
          <w14:textFill>
            <w14:solidFill>
              <w14:schemeClr w14:val="tx1"/>
            </w14:solidFill>
          </w14:textFill>
        </w:rPr>
        <w:t>安全生产。</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企业自查自改后，要形成整改报告，报所在地区县应急局备案。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二</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决策参考。</w:t>
      </w:r>
      <w:r>
        <w:rPr>
          <w:rFonts w:hint="default" w:ascii="Times New Roman" w:hAnsi="Times New Roman" w:eastAsia="方正仿宋_GBK" w:cs="Times New Roman"/>
          <w:color w:val="000000" w:themeColor="text1"/>
          <w:sz w:val="32"/>
          <w:szCs w:val="32"/>
          <w14:textFill>
            <w14:solidFill>
              <w14:schemeClr w14:val="tx1"/>
            </w14:solidFill>
          </w14:textFill>
        </w:rPr>
        <w:t>区县应急局要按照</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矿山</w:t>
      </w:r>
      <w:r>
        <w:rPr>
          <w:rFonts w:hint="default" w:ascii="Times New Roman" w:hAnsi="Times New Roman" w:eastAsia="方正仿宋_GBK" w:cs="Times New Roman"/>
          <w:color w:val="000000" w:themeColor="text1"/>
          <w:sz w:val="32"/>
          <w:szCs w:val="32"/>
          <w14:textFill>
            <w14:solidFill>
              <w14:schemeClr w14:val="tx1"/>
            </w14:solidFill>
          </w14:textFill>
        </w:rPr>
        <w:t>安全风险分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级</w:t>
      </w:r>
      <w:r>
        <w:rPr>
          <w:rFonts w:hint="default" w:ascii="Times New Roman" w:hAnsi="Times New Roman" w:eastAsia="方正仿宋_GBK" w:cs="Times New Roman"/>
          <w:color w:val="000000" w:themeColor="text1"/>
          <w:sz w:val="32"/>
          <w:szCs w:val="32"/>
          <w14:textFill>
            <w14:solidFill>
              <w14:schemeClr w14:val="tx1"/>
            </w14:solidFill>
          </w14:textFill>
        </w:rPr>
        <w:t>情况，分类加强安全监管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，责令矿山企业按照“五定”原则，限期完成整改销号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区县应急局应及时组织对企业的整改结果进行复核验收，</w:t>
      </w:r>
      <w:r>
        <w:rPr>
          <w:rFonts w:hint="default" w:ascii="Times New Roman" w:hAnsi="Times New Roman" w:eastAsia="方正仿宋_GBK" w:cs="Times New Roman"/>
          <w:color w:val="000000" w:themeColor="text1"/>
          <w:sz w:val="32"/>
          <w:szCs w:val="32"/>
          <w14:textFill>
            <w14:solidFill>
              <w14:schemeClr w14:val="tx1"/>
            </w14:solidFill>
          </w14:textFill>
        </w:rPr>
        <w:t>市应急局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适时将企业整改情况纳入监管执法。</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（三）保险联动。</w:t>
      </w:r>
      <w:r>
        <w:rPr>
          <w:rFonts w:hint="default" w:ascii="Times New Roman" w:hAnsi="Times New Roman" w:eastAsia="方正仿宋_GBK" w:cs="Times New Roman"/>
          <w:color w:val="000000" w:themeColor="text1"/>
          <w:sz w:val="32"/>
          <w:szCs w:val="32"/>
          <w14:textFill>
            <w14:solidFill>
              <w14:schemeClr w14:val="tx1"/>
            </w14:solidFill>
          </w14:textFill>
        </w:rPr>
        <w:t>探索实行安全风险分级与安责险费率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预防服务挂钩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制度</w:t>
      </w:r>
      <w:r>
        <w:rPr>
          <w:rFonts w:hint="default" w:ascii="Times New Roman" w:hAnsi="Times New Roman" w:eastAsia="方正仿宋_GBK" w:cs="Times New Roman"/>
          <w:color w:val="000000" w:themeColor="text1"/>
          <w:sz w:val="32"/>
          <w:szCs w:val="32"/>
          <w14:textFill>
            <w14:solidFill>
              <w14:schemeClr w14:val="tx1"/>
            </w14:solidFill>
          </w14:textFill>
        </w:rPr>
        <w:t>，对连续未发生生产安全事故、安全风险分级为低风险的矿山企业在续保安责险时实行优惠系数政策。建立风险分级差异化预防服务机制，对安全风险分级为重大风险或较大风险企业，督促保险公司开展具有针对性的预防服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32" w:firstLineChars="200"/>
        <w:textAlignment w:val="auto"/>
        <w:outlineLvl w:val="9"/>
        <w:rPr>
          <w:rFonts w:hint="default" w:ascii="Times New Roman" w:hAnsi="Times New Roman" w:eastAsia="方正黑体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lang w:val="en-US" w:eastAsia="zh-CN"/>
          <w14:textFill>
            <w14:solidFill>
              <w14:schemeClr w14:val="tx1"/>
            </w14:solidFill>
          </w14:textFill>
        </w:rPr>
        <w:t>六、工作保障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bCs/>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（一）人员配备。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每个组</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由</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3-4名不同专业的专家组成，</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设组长一名。评估报告实行组长负责制。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bCs/>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（二）培训到位。</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组织培训，确保参与人员“干得来”。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（三）提供支持。</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各有关区县要对该项工作提供大力支持，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安排人员全程参与、全过程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协调工作</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left"/>
        <w:textAlignment w:val="auto"/>
        <w:outlineLvl w:val="9"/>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1264" w:leftChars="200" w:right="0" w:rightChars="0" w:hanging="632" w:hangingChars="200"/>
        <w:jc w:val="left"/>
        <w:textAlignment w:val="auto"/>
        <w:outlineLvl w:val="9"/>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附件：重庆市金属非金属地下矿山安全风险诊断评估细则（试行）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方正仿宋_GBK" w:cs="Times New Roman"/>
          <w:bCs/>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重庆市应急管理局</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国家矿山安全监察局重庆局</w:t>
      </w:r>
    </w:p>
    <w:p>
      <w:pPr>
        <w:keepNext w:val="0"/>
        <w:keepLines w:val="0"/>
        <w:pageBreakBefore w:val="0"/>
        <w:widowControl w:val="0"/>
        <w:kinsoku/>
        <w:wordWrap/>
        <w:overflowPunct/>
        <w:topLinePunct w:val="0"/>
        <w:autoSpaceDE/>
        <w:autoSpaceDN/>
        <w:bidi w:val="0"/>
        <w:adjustRightInd/>
        <w:snapToGrid/>
        <w:spacing w:line="540" w:lineRule="exact"/>
        <w:ind w:left="5688" w:leftChars="200" w:right="0" w:rightChars="0" w:hanging="5056" w:hangingChars="1600"/>
        <w:textAlignment w:val="auto"/>
        <w:outlineLvl w:val="9"/>
        <w:rPr>
          <w:rFonts w:hint="default" w:ascii="Times New Roman" w:hAnsi="Times New Roman" w:eastAsia="方正仿宋_GBK" w:cs="Times New Roman"/>
          <w:bCs/>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 xml:space="preserve"> 2022年</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月1</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日</w:t>
      </w:r>
    </w:p>
    <w:p>
      <w:pPr>
        <w:rPr>
          <w:rFonts w:hint="default" w:ascii="Times New Roman" w:hAnsi="Times New Roman" w:cs="Times New Roman"/>
          <w:lang w:eastAsia="zh-CN"/>
        </w:rPr>
      </w:pP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黑体_GBK" w:cs="Times New Roman"/>
          <w:bCs/>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b w:val="0"/>
          <w:bCs w:val="0"/>
          <w:sz w:val="32"/>
          <w:szCs w:val="32"/>
        </w:rPr>
      </w:pPr>
      <w:r>
        <w:rPr>
          <w:rFonts w:hint="default" w:ascii="Times New Roman" w:hAnsi="Times New Roman" w:eastAsia="方正小标宋_GBK" w:cs="Times New Roman"/>
          <w:b w:val="0"/>
          <w:bCs w:val="0"/>
          <w:sz w:val="32"/>
          <w:szCs w:val="32"/>
        </w:rPr>
        <w:t>金属非金属地下矿山</w:t>
      </w:r>
      <w:r>
        <w:rPr>
          <w:rFonts w:hint="default" w:ascii="Times New Roman" w:hAnsi="Times New Roman" w:eastAsia="方正小标宋_GBK" w:cs="Times New Roman"/>
          <w:b w:val="0"/>
          <w:bCs w:val="0"/>
          <w:sz w:val="32"/>
          <w:szCs w:val="32"/>
          <w:lang w:val="en-US" w:eastAsia="zh-CN"/>
        </w:rPr>
        <w:t>安全</w:t>
      </w:r>
      <w:r>
        <w:rPr>
          <w:rFonts w:hint="default" w:ascii="Times New Roman" w:hAnsi="Times New Roman" w:eastAsia="方正小标宋_GBK" w:cs="Times New Roman"/>
          <w:b w:val="0"/>
          <w:bCs w:val="0"/>
          <w:sz w:val="32"/>
          <w:szCs w:val="32"/>
        </w:rPr>
        <w:t>风险诊断评估</w:t>
      </w:r>
      <w:r>
        <w:rPr>
          <w:rFonts w:hint="default" w:ascii="Times New Roman" w:hAnsi="Times New Roman" w:eastAsia="方正小标宋_GBK" w:cs="Times New Roman"/>
          <w:b w:val="0"/>
          <w:bCs w:val="0"/>
          <w:sz w:val="32"/>
          <w:szCs w:val="32"/>
          <w:lang w:eastAsia="zh-CN"/>
        </w:rPr>
        <w:t>细则（试行）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金属非金属地下矿山风险诊断评估是对矿山固有风险和风险控制程度通过检查</w:t>
      </w:r>
      <w:r>
        <w:rPr>
          <w:rFonts w:hint="default" w:ascii="Times New Roman" w:hAnsi="Times New Roman" w:eastAsia="方正仿宋_GBK" w:cs="Times New Roman"/>
          <w:sz w:val="28"/>
          <w:szCs w:val="28"/>
          <w:lang w:val="en-US" w:eastAsia="zh-CN"/>
        </w:rPr>
        <w:t>表</w:t>
      </w:r>
      <w:r>
        <w:rPr>
          <w:rFonts w:hint="default" w:ascii="Times New Roman" w:hAnsi="Times New Roman" w:eastAsia="方正仿宋_GBK" w:cs="Times New Roman"/>
          <w:sz w:val="28"/>
          <w:szCs w:val="28"/>
        </w:rPr>
        <w:t>打分</w:t>
      </w:r>
      <w:r>
        <w:rPr>
          <w:rFonts w:hint="default" w:ascii="Times New Roman" w:hAnsi="Times New Roman" w:eastAsia="方正仿宋_GBK" w:cs="Times New Roman"/>
          <w:sz w:val="28"/>
          <w:szCs w:val="28"/>
          <w:lang w:val="en-US" w:eastAsia="zh-CN"/>
        </w:rPr>
        <w:t>定</w:t>
      </w:r>
      <w:r>
        <w:rPr>
          <w:rFonts w:hint="default" w:ascii="Times New Roman" w:hAnsi="Times New Roman" w:eastAsia="方正仿宋_GBK" w:cs="Times New Roman"/>
          <w:sz w:val="28"/>
          <w:szCs w:val="28"/>
        </w:rPr>
        <w:t>级，然后采用风险矩阵图进行综合评判，最终得出矿山的综合风险等级。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jc w:val="left"/>
        <w:textAlignment w:val="auto"/>
        <w:outlineLvl w:val="9"/>
        <w:rPr>
          <w:rFonts w:hint="default" w:ascii="Times New Roman" w:hAnsi="Times New Roman" w:eastAsia="方正黑体_GBK" w:cs="Times New Roman"/>
          <w:bCs/>
          <w:color w:val="000000" w:themeColor="text1"/>
          <w:sz w:val="28"/>
          <w:szCs w:val="28"/>
          <w14:textFill>
            <w14:solidFill>
              <w14:schemeClr w14:val="tx1"/>
            </w14:solidFill>
          </w14:textFill>
        </w:rPr>
      </w:pPr>
      <w:r>
        <w:rPr>
          <w:rFonts w:hint="default" w:ascii="Times New Roman" w:hAnsi="Times New Roman" w:eastAsia="方正黑体_GBK" w:cs="Times New Roman"/>
          <w:bCs/>
          <w:color w:val="000000" w:themeColor="text1"/>
          <w:sz w:val="28"/>
          <w:szCs w:val="28"/>
          <w14:textFill>
            <w14:solidFill>
              <w14:schemeClr w14:val="tx1"/>
            </w14:solidFill>
          </w14:textFill>
        </w:rPr>
        <w:t>一、地下矿山固有风险的判定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textAlignment w:val="auto"/>
        <w:rPr>
          <w:rFonts w:hint="default" w:ascii="Times New Roman" w:hAnsi="Times New Roman" w:eastAsia="方正仿宋_GBK" w:cs="Times New Roman"/>
          <w:b/>
          <w:bCs/>
          <w:sz w:val="24"/>
        </w:rPr>
      </w:pPr>
      <w:r>
        <w:rPr>
          <w:rFonts w:hint="default" w:ascii="Times New Roman" w:hAnsi="Times New Roman" w:eastAsia="方正仿宋_GBK" w:cs="Times New Roman"/>
          <w:sz w:val="28"/>
          <w:szCs w:val="28"/>
        </w:rPr>
        <w:t>固有风险（L）分为5个等级，通过固有风险分值进行量化，量化指标由9个一级指标、22个二级指标组成，详见表1。根据所得汇总分值，风险从大到小依次分为A、B、C、D、E。</w:t>
      </w:r>
    </w:p>
    <w:p>
      <w:pPr>
        <w:snapToGrid w:val="0"/>
        <w:spacing w:before="156" w:beforeLines="50" w:after="156" w:afterLines="50"/>
        <w:jc w:val="center"/>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表1  固有风险评估指标体系及赋值</w:t>
      </w:r>
    </w:p>
    <w:tbl>
      <w:tblPr>
        <w:tblStyle w:val="7"/>
        <w:tblW w:w="8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8"/>
        <w:gridCol w:w="1935"/>
        <w:gridCol w:w="1615"/>
        <w:gridCol w:w="2874"/>
        <w:gridCol w:w="1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blHeader/>
        </w:trPr>
        <w:tc>
          <w:tcPr>
            <w:tcW w:w="788"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序号</w:t>
            </w:r>
          </w:p>
        </w:tc>
        <w:tc>
          <w:tcPr>
            <w:tcW w:w="1935"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一级指标</w:t>
            </w: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二级指标</w:t>
            </w:r>
          </w:p>
        </w:tc>
        <w:tc>
          <w:tcPr>
            <w:tcW w:w="1668"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b/>
                <w:sz w:val="21"/>
                <w:szCs w:val="21"/>
              </w:rPr>
            </w:pPr>
            <w:r>
              <w:rPr>
                <w:rFonts w:hint="default" w:ascii="Times New Roman" w:hAnsi="Times New Roman" w:eastAsia="方正仿宋_GBK" w:cs="Times New Roman"/>
                <w:b/>
                <w:bCs/>
                <w:sz w:val="21"/>
                <w:szCs w:val="21"/>
              </w:rPr>
              <w:t>总分值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w:t>
            </w:r>
          </w:p>
        </w:tc>
        <w:tc>
          <w:tcPr>
            <w:tcW w:w="193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人员配备</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同时最大下井人数（4分）</w:t>
            </w:r>
          </w:p>
        </w:tc>
        <w:tc>
          <w:tcPr>
            <w:tcW w:w="166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技术人员配备情况（2分）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从业人员文化程度（2分）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从业人员工作年限（2分）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二</w:t>
            </w:r>
          </w:p>
        </w:tc>
        <w:tc>
          <w:tcPr>
            <w:tcW w:w="1935"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开采深度（10分）</w:t>
            </w: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生产中段离最近安全出口垂直距离（10分）</w:t>
            </w:r>
          </w:p>
        </w:tc>
        <w:tc>
          <w:tcPr>
            <w:tcW w:w="1668" w:type="dxa"/>
            <w:tcBorders>
              <w:bottom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三</w:t>
            </w:r>
          </w:p>
        </w:tc>
        <w:tc>
          <w:tcPr>
            <w:tcW w:w="193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开拓方式</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（三选一）</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161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平硐开拓</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（6分）</w:t>
            </w:r>
          </w:p>
        </w:tc>
        <w:tc>
          <w:tcPr>
            <w:tcW w:w="2874"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运输方式（2分）</w:t>
            </w:r>
          </w:p>
        </w:tc>
        <w:tc>
          <w:tcPr>
            <w:tcW w:w="166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2874"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巷道长度（2分）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2874"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巷道高度（2分）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斜坡道开拓（8分）</w:t>
            </w:r>
          </w:p>
        </w:tc>
        <w:tc>
          <w:tcPr>
            <w:tcW w:w="2874"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斜坡道长度（3分）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2874"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斜坡道坡度（5分）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斜井开拓（10分）</w:t>
            </w:r>
          </w:p>
        </w:tc>
        <w:tc>
          <w:tcPr>
            <w:tcW w:w="2874"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单级斜井长度（6分）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2874"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最大斜井坡度（4分）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四</w:t>
            </w:r>
          </w:p>
        </w:tc>
        <w:tc>
          <w:tcPr>
            <w:tcW w:w="193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采矿方法</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（三选一）</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161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房柱法</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2874"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采场高度（3分）</w:t>
            </w:r>
          </w:p>
        </w:tc>
        <w:tc>
          <w:tcPr>
            <w:tcW w:w="166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2874"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矿柱直径（3分）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continue"/>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2874" w:type="dxa"/>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矿柱间距（4分）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tcBorders>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restart"/>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留矿法</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2874"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中段高度（6分）</w:t>
            </w:r>
          </w:p>
        </w:tc>
        <w:tc>
          <w:tcPr>
            <w:tcW w:w="1668" w:type="dxa"/>
            <w:vMerge w:val="continue"/>
            <w:tcBorders>
              <w:lef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tcBorders>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615" w:type="dxa"/>
            <w:vMerge w:val="continue"/>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2874"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矿块长度（4分）</w:t>
            </w:r>
          </w:p>
        </w:tc>
        <w:tc>
          <w:tcPr>
            <w:tcW w:w="1668" w:type="dxa"/>
            <w:vMerge w:val="continue"/>
            <w:tcBorders>
              <w:lef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tcBorders>
              <w:bottom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tcBorders>
              <w:bottom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tcBorders>
              <w:top w:val="single" w:color="auto" w:sz="4" w:space="0"/>
              <w:bottom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充填法（4分）</w:t>
            </w:r>
          </w:p>
        </w:tc>
        <w:tc>
          <w:tcPr>
            <w:tcW w:w="1668" w:type="dxa"/>
            <w:vMerge w:val="continue"/>
            <w:tcBorders>
              <w:bottom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五</w:t>
            </w:r>
          </w:p>
        </w:tc>
        <w:tc>
          <w:tcPr>
            <w:tcW w:w="193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机械化、信息化程度（15分）</w:t>
            </w: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顶板处理（10分）</w:t>
            </w:r>
          </w:p>
        </w:tc>
        <w:tc>
          <w:tcPr>
            <w:tcW w:w="166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自动化控制（2分）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信息化管理（3分）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六</w:t>
            </w:r>
          </w:p>
        </w:tc>
        <w:tc>
          <w:tcPr>
            <w:tcW w:w="193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工程地质条件</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（20分）</w:t>
            </w: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围岩结构（5分）</w:t>
            </w:r>
          </w:p>
        </w:tc>
        <w:tc>
          <w:tcPr>
            <w:tcW w:w="166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地质构造（5分）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井下不良地质现象（5分）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有毒有害气体（5分）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七</w:t>
            </w:r>
          </w:p>
        </w:tc>
        <w:tc>
          <w:tcPr>
            <w:tcW w:w="193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水文地质条件</w:t>
            </w:r>
          </w:p>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水文地质类型（5分）</w:t>
            </w:r>
          </w:p>
        </w:tc>
        <w:tc>
          <w:tcPr>
            <w:tcW w:w="166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1935"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地表水体（5分）</w:t>
            </w:r>
          </w:p>
        </w:tc>
        <w:tc>
          <w:tcPr>
            <w:tcW w:w="1668"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788"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八</w:t>
            </w:r>
          </w:p>
        </w:tc>
        <w:tc>
          <w:tcPr>
            <w:tcW w:w="1935"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采空区（10分）</w:t>
            </w: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采空区情况（10分）</w:t>
            </w:r>
          </w:p>
        </w:tc>
        <w:tc>
          <w:tcPr>
            <w:tcW w:w="1668" w:type="dxa"/>
            <w:tcBorders>
              <w:bottom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788"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九</w:t>
            </w:r>
          </w:p>
        </w:tc>
        <w:tc>
          <w:tcPr>
            <w:tcW w:w="1935"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周边环境（5分）</w:t>
            </w:r>
          </w:p>
        </w:tc>
        <w:tc>
          <w:tcPr>
            <w:tcW w:w="4489"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地面地质灾害（5分）</w:t>
            </w:r>
          </w:p>
        </w:tc>
        <w:tc>
          <w:tcPr>
            <w:tcW w:w="1668"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7212" w:type="dxa"/>
            <w:gridSpan w:val="4"/>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汇总</w:t>
            </w:r>
          </w:p>
        </w:tc>
        <w:tc>
          <w:tcPr>
            <w:tcW w:w="1668" w:type="dxa"/>
            <w:vAlign w:val="center"/>
          </w:tcPr>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100分</w:t>
            </w:r>
          </w:p>
        </w:tc>
      </w:tr>
    </w:tbl>
    <w:p>
      <w:pPr>
        <w:snapToGrid w:val="0"/>
        <w:spacing w:before="156" w:beforeLines="50" w:after="156" w:afterLines="50"/>
        <w:jc w:val="center"/>
        <w:rPr>
          <w:rFonts w:hint="default" w:ascii="Times New Roman" w:hAnsi="Times New Roman" w:eastAsia="方正仿宋_GBK" w:cs="Times New Roman"/>
          <w:b/>
          <w:bCs/>
          <w:sz w:val="21"/>
          <w:szCs w:val="21"/>
        </w:rPr>
      </w:pPr>
    </w:p>
    <w:p>
      <w:pPr>
        <w:snapToGrid w:val="0"/>
        <w:spacing w:before="156" w:beforeLines="50" w:after="156" w:afterLines="50"/>
        <w:jc w:val="center"/>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表2  固有风险等级判定表（L）</w:t>
      </w:r>
    </w:p>
    <w:tbl>
      <w:tblPr>
        <w:tblStyle w:val="7"/>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2959"/>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946" w:type="dxa"/>
            <w:vAlign w:val="center"/>
          </w:tcPr>
          <w:p>
            <w:pPr>
              <w:keepNext w:val="0"/>
              <w:keepLines w:val="0"/>
              <w:pageBreakBefore w:val="0"/>
              <w:widowControl w:val="0"/>
              <w:kinsoku/>
              <w:wordWrap/>
              <w:overflowPunct/>
              <w:topLinePunct w:val="0"/>
              <w:bidi w:val="0"/>
              <w:snapToGrid w:val="0"/>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等级</w:t>
            </w:r>
          </w:p>
        </w:tc>
        <w:tc>
          <w:tcPr>
            <w:tcW w:w="2959"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分值</w:t>
            </w:r>
          </w:p>
        </w:tc>
        <w:tc>
          <w:tcPr>
            <w:tcW w:w="4295"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风险大小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46" w:type="dxa"/>
            <w:vAlign w:val="center"/>
          </w:tcPr>
          <w:p>
            <w:pPr>
              <w:keepNext w:val="0"/>
              <w:keepLines w:val="0"/>
              <w:pageBreakBefore w:val="0"/>
              <w:widowControl w:val="0"/>
              <w:kinsoku/>
              <w:wordWrap/>
              <w:overflowPunct/>
              <w:topLinePunct w:val="0"/>
              <w:bidi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b/>
                <w:bCs/>
                <w:sz w:val="18"/>
                <w:szCs w:val="18"/>
              </w:rPr>
              <w:t>A</w:t>
            </w:r>
          </w:p>
        </w:tc>
        <w:tc>
          <w:tcPr>
            <w:tcW w:w="2959"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L≥85</w:t>
            </w:r>
          </w:p>
        </w:tc>
        <w:tc>
          <w:tcPr>
            <w:tcW w:w="4295"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46" w:type="dxa"/>
            <w:vAlign w:val="center"/>
          </w:tcPr>
          <w:p>
            <w:pPr>
              <w:keepNext w:val="0"/>
              <w:keepLines w:val="0"/>
              <w:pageBreakBefore w:val="0"/>
              <w:widowControl w:val="0"/>
              <w:kinsoku/>
              <w:wordWrap/>
              <w:overflowPunct/>
              <w:topLinePunct w:val="0"/>
              <w:bidi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b/>
                <w:bCs/>
                <w:sz w:val="18"/>
                <w:szCs w:val="18"/>
              </w:rPr>
              <w:t>B</w:t>
            </w:r>
          </w:p>
        </w:tc>
        <w:tc>
          <w:tcPr>
            <w:tcW w:w="2959"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70≤L＜85</w:t>
            </w:r>
          </w:p>
        </w:tc>
        <w:tc>
          <w:tcPr>
            <w:tcW w:w="4295"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46" w:type="dxa"/>
            <w:vAlign w:val="center"/>
          </w:tcPr>
          <w:p>
            <w:pPr>
              <w:keepNext w:val="0"/>
              <w:keepLines w:val="0"/>
              <w:pageBreakBefore w:val="0"/>
              <w:widowControl w:val="0"/>
              <w:kinsoku/>
              <w:wordWrap/>
              <w:overflowPunct/>
              <w:topLinePunct w:val="0"/>
              <w:bidi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b/>
                <w:bCs/>
                <w:sz w:val="18"/>
                <w:szCs w:val="18"/>
              </w:rPr>
              <w:t>C</w:t>
            </w:r>
          </w:p>
        </w:tc>
        <w:tc>
          <w:tcPr>
            <w:tcW w:w="2959"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55≤L＜70</w:t>
            </w:r>
          </w:p>
        </w:tc>
        <w:tc>
          <w:tcPr>
            <w:tcW w:w="4295"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946" w:type="dxa"/>
            <w:vAlign w:val="center"/>
          </w:tcPr>
          <w:p>
            <w:pPr>
              <w:keepNext w:val="0"/>
              <w:keepLines w:val="0"/>
              <w:pageBreakBefore w:val="0"/>
              <w:widowControl w:val="0"/>
              <w:kinsoku/>
              <w:wordWrap/>
              <w:overflowPunct/>
              <w:topLinePunct w:val="0"/>
              <w:bidi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b/>
                <w:bCs/>
                <w:sz w:val="18"/>
                <w:szCs w:val="18"/>
              </w:rPr>
              <w:t>D</w:t>
            </w:r>
          </w:p>
        </w:tc>
        <w:tc>
          <w:tcPr>
            <w:tcW w:w="2959"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40≤L＜55</w:t>
            </w:r>
          </w:p>
        </w:tc>
        <w:tc>
          <w:tcPr>
            <w:tcW w:w="4295"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946" w:type="dxa"/>
            <w:vAlign w:val="center"/>
          </w:tcPr>
          <w:p>
            <w:pPr>
              <w:keepNext w:val="0"/>
              <w:keepLines w:val="0"/>
              <w:pageBreakBefore w:val="0"/>
              <w:widowControl w:val="0"/>
              <w:kinsoku/>
              <w:wordWrap/>
              <w:overflowPunct/>
              <w:topLinePunct w:val="0"/>
              <w:bidi w:val="0"/>
              <w:snapToGrid w:val="0"/>
              <w:jc w:val="center"/>
              <w:textAlignment w:val="auto"/>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E</w:t>
            </w:r>
          </w:p>
        </w:tc>
        <w:tc>
          <w:tcPr>
            <w:tcW w:w="2959"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L＜40</w:t>
            </w:r>
          </w:p>
        </w:tc>
        <w:tc>
          <w:tcPr>
            <w:tcW w:w="4295"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低</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方正黑体_GBK" w:cs="Times New Roman"/>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黑体_GBK" w:cs="Times New Roman"/>
          <w:bCs/>
          <w:color w:val="000000" w:themeColor="text1"/>
          <w:sz w:val="28"/>
          <w:szCs w:val="28"/>
          <w14:textFill>
            <w14:solidFill>
              <w14:schemeClr w14:val="tx1"/>
            </w14:solidFill>
          </w14:textFill>
        </w:rPr>
        <w:t>二、地下矿山风险控制程度的判定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全风险控制程度（S）分为5个等级，通过对法律法规的达标情况对其量化，量化指标由9个一级指标、36个二级指标及若干指标检查内容组成，详见表3，管控程度从好到差依次为Ⅰ、Ⅱ、Ⅲ、Ⅳ、Ⅴ，分级标准见表4，具体的检查内容详见表7，评分说明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按照所检查</w:t>
      </w:r>
      <w:r>
        <w:rPr>
          <w:rFonts w:hint="default" w:ascii="Times New Roman" w:hAnsi="Times New Roman" w:eastAsia="方正仿宋_GBK" w:cs="Times New Roman"/>
          <w:sz w:val="28"/>
          <w:szCs w:val="28"/>
          <w:lang w:val="en-US" w:eastAsia="zh-CN"/>
        </w:rPr>
        <w:t>未达标项目</w:t>
      </w:r>
      <w:r>
        <w:rPr>
          <w:rFonts w:hint="default" w:ascii="Times New Roman" w:hAnsi="Times New Roman" w:eastAsia="方正仿宋_GBK" w:cs="Times New Roman"/>
          <w:sz w:val="28"/>
          <w:szCs w:val="28"/>
        </w:rPr>
        <w:t>进行扣分，各二级指标扣完为止；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有</w:t>
      </w:r>
      <w:r>
        <w:rPr>
          <w:rFonts w:hint="default" w:ascii="Times New Roman" w:hAnsi="Times New Roman" w:eastAsia="方正仿宋_GBK" w:cs="Times New Roman"/>
          <w:sz w:val="28"/>
          <w:szCs w:val="28"/>
        </w:rPr>
        <w:t>缺项时，按照以下公式进行折算。</w:t>
      </w:r>
    </w:p>
    <w:p>
      <w:pPr>
        <w:keepNext w:val="0"/>
        <w:keepLines w:val="0"/>
        <w:pageBreakBefore w:val="0"/>
        <w:widowControl w:val="0"/>
        <w:kinsoku/>
        <w:wordWrap/>
        <w:overflowPunct/>
        <w:topLinePunct w:val="0"/>
        <w:autoSpaceDE/>
        <w:autoSpaceDN/>
        <w:bidi w:val="0"/>
        <w:adjustRightInd/>
        <w:snapToGrid/>
        <w:spacing w:before="159" w:beforeLines="50" w:after="159" w:afterLines="50" w:line="500" w:lineRule="exact"/>
        <w:ind w:left="0" w:leftChars="0" w:right="0" w:rightChars="0" w:firstLine="2484" w:firstLineChars="90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position w:val="-24"/>
          <w:sz w:val="28"/>
          <w:szCs w:val="28"/>
          <w:lang w:val="en-US" w:eastAsia="zh-CN"/>
        </w:rPr>
        <w:object>
          <v:shape id="_x0000_i1025" o:spt="75" type="#_x0000_t75" style="height:34.45pt;width:107.65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式中</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A——实得分数；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B——缺项标准分数；</w:t>
      </w:r>
      <w:r>
        <w:rPr>
          <w:rFonts w:hint="default" w:ascii="Times New Roman" w:hAnsi="Times New Roman" w:eastAsia="方正仿宋_GBK"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C——检查得分数。</w:t>
      </w:r>
    </w:p>
    <w:p>
      <w:pPr>
        <w:spacing w:before="156" w:beforeLines="50" w:after="156" w:afterLines="50"/>
        <w:jc w:val="center"/>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表3  风险控制程度评估指标体系及赋值</w:t>
      </w:r>
    </w:p>
    <w:tbl>
      <w:tblPr>
        <w:tblStyle w:val="7"/>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695"/>
        <w:gridCol w:w="3626"/>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序号</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一级指标</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二级指标</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w:t>
            </w:r>
          </w:p>
        </w:tc>
        <w:tc>
          <w:tcPr>
            <w:tcW w:w="2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基础管理（200分）</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安全生产管理机构</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人员配备</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安全投入</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安全教育培训</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领导带班</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一线岗位人员责任落实（两单两卡）</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隐患排查治理</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图纸</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应急救援</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二</w:t>
            </w:r>
          </w:p>
        </w:tc>
        <w:tc>
          <w:tcPr>
            <w:tcW w:w="2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开拓开采（2</w:t>
            </w:r>
            <w:r>
              <w:rPr>
                <w:rFonts w:hint="default" w:ascii="Times New Roman" w:hAnsi="Times New Roman" w:eastAsia="方正仿宋_GBK" w:cs="Times New Roman"/>
                <w:sz w:val="18"/>
                <w:szCs w:val="18"/>
                <w:lang w:val="en-US" w:eastAsia="zh-CN"/>
              </w:rPr>
              <w:t>1</w:t>
            </w:r>
            <w:r>
              <w:rPr>
                <w:rFonts w:hint="default" w:ascii="Times New Roman" w:hAnsi="Times New Roman" w:eastAsia="方正仿宋_GBK" w:cs="Times New Roman"/>
                <w:sz w:val="18"/>
                <w:szCs w:val="18"/>
              </w:rPr>
              <w:t>0分）</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开拓方式</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水平、采区、工作面</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采矿方法</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color w:val="FF0000"/>
                <w:sz w:val="18"/>
                <w:szCs w:val="18"/>
              </w:rPr>
            </w:pPr>
            <w:r>
              <w:rPr>
                <w:rFonts w:hint="default" w:ascii="Times New Roman" w:hAnsi="Times New Roman" w:eastAsia="方正仿宋_GBK" w:cs="Times New Roman"/>
                <w:color w:val="000000"/>
                <w:sz w:val="18"/>
                <w:szCs w:val="18"/>
              </w:rPr>
              <w:t>顶板管理</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1</w:t>
            </w:r>
            <w:r>
              <w:rPr>
                <w:rFonts w:hint="default" w:ascii="Times New Roman" w:hAnsi="Times New Roman" w:eastAsia="方正仿宋_GBK" w:cs="Times New Roman"/>
                <w:color w:val="000000"/>
                <w:sz w:val="18"/>
                <w:szCs w:val="18"/>
                <w:lang w:val="en-US" w:eastAsia="zh-CN"/>
              </w:rPr>
              <w:t>2</w:t>
            </w:r>
            <w:r>
              <w:rPr>
                <w:rFonts w:hint="default" w:ascii="Times New Roman" w:hAnsi="Times New Roman" w:eastAsia="方正仿宋_GBK"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color w:val="FF0000"/>
                <w:sz w:val="18"/>
                <w:szCs w:val="18"/>
              </w:rPr>
            </w:pPr>
            <w:r>
              <w:rPr>
                <w:rFonts w:hint="default" w:ascii="Times New Roman" w:hAnsi="Times New Roman" w:eastAsia="方正仿宋_GBK" w:cs="Times New Roman"/>
                <w:sz w:val="18"/>
                <w:szCs w:val="18"/>
              </w:rPr>
              <w:t>爆破管理</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三</w:t>
            </w:r>
          </w:p>
        </w:tc>
        <w:tc>
          <w:tcPr>
            <w:tcW w:w="2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通风系统（1</w:t>
            </w:r>
            <w:r>
              <w:rPr>
                <w:rFonts w:hint="default" w:ascii="Times New Roman" w:hAnsi="Times New Roman" w:eastAsia="方正仿宋_GBK" w:cs="Times New Roman"/>
                <w:sz w:val="18"/>
                <w:szCs w:val="18"/>
                <w:lang w:val="en-US" w:eastAsia="zh-CN"/>
              </w:rPr>
              <w:t>4</w:t>
            </w:r>
            <w:r>
              <w:rPr>
                <w:rFonts w:hint="default" w:ascii="Times New Roman" w:hAnsi="Times New Roman" w:eastAsia="方正仿宋_GBK" w:cs="Times New Roman"/>
                <w:sz w:val="18"/>
                <w:szCs w:val="18"/>
              </w:rPr>
              <w:t>0分）</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风量风质</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主通风机</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局部通风</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lang w:val="en-US" w:eastAsia="zh-CN"/>
              </w:rPr>
              <w:t>5</w:t>
            </w:r>
            <w:r>
              <w:rPr>
                <w:rFonts w:hint="default" w:ascii="Times New Roman" w:hAnsi="Times New Roman" w:eastAsia="方正仿宋_GBK"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通风设施</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井下密闭</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四</w:t>
            </w:r>
          </w:p>
        </w:tc>
        <w:tc>
          <w:tcPr>
            <w:tcW w:w="2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运输系统（110分）</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运输设备</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水平运输</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斜井提升</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斜坡道无轨运输</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五</w:t>
            </w:r>
          </w:p>
        </w:tc>
        <w:tc>
          <w:tcPr>
            <w:tcW w:w="2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供、配电系统（</w:t>
            </w:r>
            <w:r>
              <w:rPr>
                <w:rFonts w:hint="default" w:ascii="Times New Roman" w:hAnsi="Times New Roman" w:eastAsia="方正仿宋_GBK" w:cs="Times New Roman"/>
                <w:sz w:val="18"/>
                <w:szCs w:val="18"/>
                <w:lang w:val="en-US" w:eastAsia="zh-CN"/>
              </w:rPr>
              <w:t>80</w:t>
            </w:r>
            <w:r>
              <w:rPr>
                <w:rFonts w:hint="default" w:ascii="Times New Roman" w:hAnsi="Times New Roman" w:eastAsia="方正仿宋_GBK" w:cs="Times New Roman"/>
                <w:sz w:val="18"/>
                <w:szCs w:val="18"/>
              </w:rPr>
              <w:t>分）</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供电设备</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lang w:val="en-US" w:eastAsia="zh-CN" w:bidi="ar"/>
              </w:rPr>
              <w:t>2</w:t>
            </w:r>
            <w:r>
              <w:rPr>
                <w:rFonts w:hint="default" w:ascii="Times New Roman" w:hAnsi="Times New Roman" w:eastAsia="方正仿宋_GBK"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供电设施</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供电线路</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保护接地</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lang w:val="en-US" w:eastAsia="zh-CN" w:bidi="ar"/>
              </w:rPr>
              <w:t>2</w:t>
            </w:r>
            <w:r>
              <w:rPr>
                <w:rFonts w:hint="default" w:ascii="Times New Roman" w:hAnsi="Times New Roman" w:eastAsia="方正仿宋_GBK"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六</w:t>
            </w:r>
          </w:p>
        </w:tc>
        <w:tc>
          <w:tcPr>
            <w:tcW w:w="2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防排水（120分）</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防治水</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井下排水设施</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七</w:t>
            </w:r>
          </w:p>
        </w:tc>
        <w:tc>
          <w:tcPr>
            <w:tcW w:w="2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防灭火（40分）</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消防设施</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动火作业</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八</w:t>
            </w:r>
          </w:p>
        </w:tc>
        <w:tc>
          <w:tcPr>
            <w:tcW w:w="2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安全避险系统（60分）</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配备</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安装</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运行</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九</w:t>
            </w:r>
          </w:p>
        </w:tc>
        <w:tc>
          <w:tcPr>
            <w:tcW w:w="2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地面设施（40分）</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工业广场</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sz w:val="18"/>
                <w:szCs w:val="18"/>
              </w:rPr>
            </w:pPr>
          </w:p>
        </w:tc>
        <w:tc>
          <w:tcPr>
            <w:tcW w:w="2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sz w:val="18"/>
                <w:szCs w:val="18"/>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破碎站</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16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汇总</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1000分</w:t>
            </w:r>
          </w:p>
        </w:tc>
      </w:tr>
    </w:tbl>
    <w:p>
      <w:pPr>
        <w:jc w:val="center"/>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4"/>
        </w:rPr>
        <w:t>表4  安全风险控制程度判定表（S）</w:t>
      </w:r>
    </w:p>
    <w:tbl>
      <w:tblPr>
        <w:tblStyle w:val="7"/>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3568"/>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22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等级</w:t>
            </w:r>
          </w:p>
        </w:tc>
        <w:tc>
          <w:tcPr>
            <w:tcW w:w="3568"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分值</w:t>
            </w:r>
          </w:p>
        </w:tc>
        <w:tc>
          <w:tcPr>
            <w:tcW w:w="3121"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控制程度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11" w:type="dxa"/>
            <w:vAlign w:val="center"/>
          </w:tcPr>
          <w:p>
            <w:pPr>
              <w:spacing w:line="360" w:lineRule="auto"/>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Ⅰ</w:t>
            </w:r>
          </w:p>
        </w:tc>
        <w:tc>
          <w:tcPr>
            <w:tcW w:w="3568"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S≥900</w:t>
            </w:r>
          </w:p>
        </w:tc>
        <w:tc>
          <w:tcPr>
            <w:tcW w:w="3121"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11" w:type="dxa"/>
            <w:vAlign w:val="center"/>
          </w:tcPr>
          <w:p>
            <w:pPr>
              <w:spacing w:line="360" w:lineRule="auto"/>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Ⅱ</w:t>
            </w:r>
          </w:p>
        </w:tc>
        <w:tc>
          <w:tcPr>
            <w:tcW w:w="3568"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800≤S＜900</w:t>
            </w:r>
          </w:p>
        </w:tc>
        <w:tc>
          <w:tcPr>
            <w:tcW w:w="3121"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11" w:type="dxa"/>
            <w:vAlign w:val="center"/>
          </w:tcPr>
          <w:p>
            <w:pPr>
              <w:spacing w:line="360" w:lineRule="auto"/>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Ⅲ</w:t>
            </w:r>
          </w:p>
        </w:tc>
        <w:tc>
          <w:tcPr>
            <w:tcW w:w="3568"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700≤S＜800</w:t>
            </w:r>
          </w:p>
        </w:tc>
        <w:tc>
          <w:tcPr>
            <w:tcW w:w="3121"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11" w:type="dxa"/>
            <w:vAlign w:val="center"/>
          </w:tcPr>
          <w:p>
            <w:pPr>
              <w:spacing w:line="360" w:lineRule="auto"/>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Ⅳ</w:t>
            </w:r>
          </w:p>
        </w:tc>
        <w:tc>
          <w:tcPr>
            <w:tcW w:w="3568"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600≤S＜700</w:t>
            </w:r>
          </w:p>
        </w:tc>
        <w:tc>
          <w:tcPr>
            <w:tcW w:w="3121"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211" w:type="dxa"/>
            <w:vAlign w:val="center"/>
          </w:tcPr>
          <w:p>
            <w:pPr>
              <w:spacing w:line="360" w:lineRule="auto"/>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Ⅴ</w:t>
            </w:r>
          </w:p>
        </w:tc>
        <w:tc>
          <w:tcPr>
            <w:tcW w:w="3568"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S＜600</w:t>
            </w:r>
          </w:p>
        </w:tc>
        <w:tc>
          <w:tcPr>
            <w:tcW w:w="3121" w:type="dxa"/>
            <w:vAlign w:val="center"/>
          </w:tcPr>
          <w:p>
            <w:pPr>
              <w:autoSpaceDE w:val="0"/>
              <w:autoSpaceDN w:val="0"/>
              <w:adjustRightInd w:val="0"/>
              <w:snapToGrid w:val="0"/>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差</w:t>
            </w: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黑体_GBK" w:cs="Times New Roman"/>
          <w:bCs/>
          <w:color w:val="000000" w:themeColor="text1"/>
          <w:sz w:val="28"/>
          <w:szCs w:val="28"/>
          <w14:textFill>
            <w14:solidFill>
              <w14:schemeClr w14:val="tx1"/>
            </w14:solidFill>
          </w14:textFill>
        </w:rPr>
        <w:t>三、地下矿山综合安全风险程度诊断评估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52" w:firstLineChars="200"/>
        <w:jc w:val="both"/>
        <w:textAlignment w:val="auto"/>
        <w:outlineLvl w:val="9"/>
        <w:rPr>
          <w:rFonts w:hint="default" w:ascii="Times New Roman" w:hAnsi="Times New Roman" w:eastAsia="方正仿宋_GBK" w:cs="Times New Roman"/>
          <w:b/>
          <w:bCs/>
          <w:sz w:val="24"/>
        </w:rPr>
      </w:pPr>
      <w:r>
        <w:rPr>
          <w:rFonts w:hint="default" w:ascii="Times New Roman" w:hAnsi="Times New Roman" w:eastAsia="方正仿宋_GBK" w:cs="Times New Roman"/>
          <w:sz w:val="28"/>
          <w:szCs w:val="28"/>
        </w:rPr>
        <w:t>地下矿山综合安全风险程度采用风险矩阵图进行判定，共分为四个等级，分别为一级（重大风险）、二级（较大风险）、三级（一般风险）、四级（低风险），分别用“红橙黄蓝”四种颜色表示，详见表5。</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表5  地下矿山安全风险等级判定表（R）</w:t>
      </w:r>
    </w:p>
    <w:tbl>
      <w:tblPr>
        <w:tblStyle w:val="7"/>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583"/>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固有风险</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（L）</w:t>
            </w:r>
          </w:p>
        </w:tc>
        <w:tc>
          <w:tcPr>
            <w:tcW w:w="7415"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风险控制程度（S）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S＜600</w:t>
            </w:r>
          </w:p>
        </w:tc>
        <w:tc>
          <w:tcPr>
            <w:tcW w:w="145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Ⅳ</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600≤S＜700</w:t>
            </w:r>
          </w:p>
        </w:tc>
        <w:tc>
          <w:tcPr>
            <w:tcW w:w="145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Ⅲ</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700≤S＜800</w:t>
            </w:r>
          </w:p>
        </w:tc>
        <w:tc>
          <w:tcPr>
            <w:tcW w:w="145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Ⅱ</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800≤S＜900</w:t>
            </w:r>
          </w:p>
        </w:tc>
        <w:tc>
          <w:tcPr>
            <w:tcW w:w="1458"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Ⅰ</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S≥900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A</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L≥85</w:t>
            </w:r>
          </w:p>
        </w:tc>
        <w:tc>
          <w:tcPr>
            <w:tcW w:w="1583" w:type="dxa"/>
            <w:shd w:val="clear" w:color="auto" w:fill="FF00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重大风险</w:t>
            </w:r>
          </w:p>
        </w:tc>
        <w:tc>
          <w:tcPr>
            <w:tcW w:w="1458" w:type="dxa"/>
            <w:shd w:val="clear" w:color="auto" w:fill="FF00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重大风险</w:t>
            </w:r>
          </w:p>
        </w:tc>
        <w:tc>
          <w:tcPr>
            <w:tcW w:w="1458" w:type="dxa"/>
            <w:tcBorders>
              <w:bottom w:val="single" w:color="auto" w:sz="4" w:space="0"/>
            </w:tcBorders>
            <w:shd w:val="clear" w:color="auto" w:fill="ED7D31" w:themeFill="accent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较大风险</w:t>
            </w:r>
          </w:p>
        </w:tc>
        <w:tc>
          <w:tcPr>
            <w:tcW w:w="1458" w:type="dxa"/>
            <w:tcBorders>
              <w:bottom w:val="single" w:color="auto" w:sz="4" w:space="0"/>
            </w:tcBorders>
            <w:shd w:val="clear" w:color="auto" w:fill="ED7D31" w:themeFill="accent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较大风险</w:t>
            </w:r>
          </w:p>
        </w:tc>
        <w:tc>
          <w:tcPr>
            <w:tcW w:w="1458" w:type="dxa"/>
            <w:shd w:val="clear" w:color="auto" w:fill="FFFF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一般风险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4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B</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70≤L＜85</w:t>
            </w:r>
          </w:p>
        </w:tc>
        <w:tc>
          <w:tcPr>
            <w:tcW w:w="1583" w:type="dxa"/>
            <w:shd w:val="clear" w:color="auto" w:fill="FF00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重大风险</w:t>
            </w:r>
          </w:p>
        </w:tc>
        <w:tc>
          <w:tcPr>
            <w:tcW w:w="1458" w:type="dxa"/>
            <w:tcBorders>
              <w:bottom w:val="single" w:color="auto" w:sz="4" w:space="0"/>
            </w:tcBorders>
            <w:shd w:val="clear" w:color="auto" w:fill="ED7D31" w:themeFill="accent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较大风险</w:t>
            </w:r>
          </w:p>
        </w:tc>
        <w:tc>
          <w:tcPr>
            <w:tcW w:w="1458" w:type="dxa"/>
            <w:shd w:val="clear" w:color="auto" w:fill="ED7D31" w:themeFill="accent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较大风险</w:t>
            </w:r>
          </w:p>
        </w:tc>
        <w:tc>
          <w:tcPr>
            <w:tcW w:w="1458" w:type="dxa"/>
            <w:tcBorders>
              <w:bottom w:val="single" w:color="auto" w:sz="4" w:space="0"/>
            </w:tcBorders>
            <w:shd w:val="clear" w:color="auto" w:fill="FFFF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一般风险</w:t>
            </w:r>
          </w:p>
        </w:tc>
        <w:tc>
          <w:tcPr>
            <w:tcW w:w="1458" w:type="dxa"/>
            <w:shd w:val="clear" w:color="auto" w:fill="2E74B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C</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55≤L＜70</w:t>
            </w:r>
          </w:p>
        </w:tc>
        <w:tc>
          <w:tcPr>
            <w:tcW w:w="1583" w:type="dxa"/>
            <w:shd w:val="clear" w:color="auto" w:fill="ED7D31" w:themeFill="accent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较大风险</w:t>
            </w:r>
          </w:p>
        </w:tc>
        <w:tc>
          <w:tcPr>
            <w:tcW w:w="1458" w:type="dxa"/>
            <w:tcBorders>
              <w:bottom w:val="single" w:color="auto" w:sz="4" w:space="0"/>
            </w:tcBorders>
            <w:shd w:val="clear" w:color="auto" w:fill="ED7D31" w:themeFill="accent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较大风险</w:t>
            </w:r>
          </w:p>
        </w:tc>
        <w:tc>
          <w:tcPr>
            <w:tcW w:w="1458" w:type="dxa"/>
            <w:tcBorders>
              <w:bottom w:val="single" w:color="auto" w:sz="4" w:space="0"/>
            </w:tcBorders>
            <w:shd w:val="clear" w:color="auto" w:fill="FFFF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一般风险</w:t>
            </w:r>
          </w:p>
        </w:tc>
        <w:tc>
          <w:tcPr>
            <w:tcW w:w="1458" w:type="dxa"/>
            <w:shd w:val="clear" w:color="auto" w:fill="FFFF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一般风险</w:t>
            </w:r>
          </w:p>
        </w:tc>
        <w:tc>
          <w:tcPr>
            <w:tcW w:w="1458" w:type="dxa"/>
            <w:shd w:val="clear" w:color="auto" w:fill="2E74B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D</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40≤L＜55</w:t>
            </w:r>
          </w:p>
        </w:tc>
        <w:tc>
          <w:tcPr>
            <w:tcW w:w="1583" w:type="dxa"/>
            <w:tcBorders>
              <w:bottom w:val="single" w:color="auto" w:sz="4" w:space="0"/>
            </w:tcBorders>
            <w:shd w:val="clear" w:color="auto" w:fill="ED7D31" w:themeFill="accent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较大风险</w:t>
            </w:r>
          </w:p>
        </w:tc>
        <w:tc>
          <w:tcPr>
            <w:tcW w:w="1458" w:type="dxa"/>
            <w:tcBorders>
              <w:bottom w:val="single" w:color="auto" w:sz="4" w:space="0"/>
            </w:tcBorders>
            <w:shd w:val="clear" w:color="auto" w:fill="FFFF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一般风险</w:t>
            </w:r>
          </w:p>
        </w:tc>
        <w:tc>
          <w:tcPr>
            <w:tcW w:w="1458" w:type="dxa"/>
            <w:tcBorders>
              <w:bottom w:val="single" w:color="auto" w:sz="4" w:space="0"/>
            </w:tcBorders>
            <w:shd w:val="clear" w:color="auto" w:fill="FFFF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一般风险</w:t>
            </w:r>
          </w:p>
        </w:tc>
        <w:tc>
          <w:tcPr>
            <w:tcW w:w="1458" w:type="dxa"/>
            <w:tcBorders>
              <w:bottom w:val="single" w:color="auto" w:sz="4" w:space="0"/>
            </w:tcBorders>
            <w:shd w:val="clear" w:color="auto" w:fill="2E74B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低风险</w:t>
            </w:r>
          </w:p>
        </w:tc>
        <w:tc>
          <w:tcPr>
            <w:tcW w:w="1458" w:type="dxa"/>
            <w:tcBorders>
              <w:bottom w:val="single" w:color="auto" w:sz="4" w:space="0"/>
            </w:tcBorders>
            <w:shd w:val="clear" w:color="auto" w:fill="2E74B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1"/>
                <w:szCs w:val="21"/>
              </w:rPr>
              <w:t>E</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b/>
                <w:bCs/>
                <w:sz w:val="21"/>
                <w:szCs w:val="21"/>
              </w:rPr>
            </w:pPr>
            <w:r>
              <w:rPr>
                <w:rFonts w:hint="default" w:ascii="Times New Roman" w:hAnsi="Times New Roman" w:eastAsia="方正仿宋_GBK" w:cs="Times New Roman"/>
                <w:sz w:val="21"/>
                <w:szCs w:val="21"/>
              </w:rPr>
              <w:t>L＜40</w:t>
            </w:r>
          </w:p>
        </w:tc>
        <w:tc>
          <w:tcPr>
            <w:tcW w:w="1583" w:type="dxa"/>
            <w:shd w:val="clear" w:color="auto" w:fill="FFFF0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一般风险</w:t>
            </w:r>
          </w:p>
        </w:tc>
        <w:tc>
          <w:tcPr>
            <w:tcW w:w="1458" w:type="dxa"/>
            <w:shd w:val="clear" w:color="auto" w:fill="2E74B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低风险</w:t>
            </w:r>
          </w:p>
        </w:tc>
        <w:tc>
          <w:tcPr>
            <w:tcW w:w="1458" w:type="dxa"/>
            <w:shd w:val="clear" w:color="auto" w:fill="2E74B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低风险</w:t>
            </w:r>
          </w:p>
        </w:tc>
        <w:tc>
          <w:tcPr>
            <w:tcW w:w="1458" w:type="dxa"/>
            <w:shd w:val="clear" w:color="auto" w:fill="2E74B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低风险</w:t>
            </w:r>
          </w:p>
        </w:tc>
        <w:tc>
          <w:tcPr>
            <w:tcW w:w="1458" w:type="dxa"/>
            <w:shd w:val="clear" w:color="auto" w:fill="2E74B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低风险</w:t>
            </w:r>
          </w:p>
        </w:tc>
      </w:tr>
    </w:tbl>
    <w:p>
      <w:pPr>
        <w:pStyle w:val="11"/>
        <w:rPr>
          <w:rFonts w:hint="default" w:ascii="Times New Roman" w:hAnsi="Times New Roman" w:cs="Times New Roman"/>
          <w:sz w:val="21"/>
          <w:szCs w:val="21"/>
        </w:rPr>
        <w:sectPr>
          <w:footerReference r:id="rId3" w:type="default"/>
          <w:footerReference r:id="rId4" w:type="even"/>
          <w:pgSz w:w="11906" w:h="16838"/>
          <w:pgMar w:top="2098" w:right="1474" w:bottom="1984" w:left="1587" w:header="851" w:footer="1474" w:gutter="0"/>
          <w:pgBorders>
            <w:top w:val="none" w:sz="0" w:space="0"/>
            <w:left w:val="none" w:sz="0" w:space="0"/>
            <w:bottom w:val="none" w:sz="0" w:space="0"/>
            <w:right w:val="none" w:sz="0" w:space="0"/>
          </w:pgBorders>
          <w:cols w:space="0" w:num="1"/>
          <w:rtlGutter w:val="0"/>
          <w:docGrid w:type="linesAndChars" w:linePitch="579" w:charSpace="-842"/>
        </w:sectPr>
      </w:pPr>
    </w:p>
    <w:p>
      <w:pPr>
        <w:spacing w:before="159" w:beforeLines="50" w:after="159" w:afterLines="50" w:line="360" w:lineRule="auto"/>
        <w:jc w:val="center"/>
        <w:rPr>
          <w:rFonts w:hint="default" w:ascii="Times New Roman" w:hAnsi="Times New Roman" w:eastAsia="方正仿宋_GBK" w:cs="Times New Roman"/>
          <w:b/>
          <w:bCs/>
          <w:sz w:val="21"/>
          <w:szCs w:val="21"/>
        </w:rPr>
      </w:pPr>
      <w:r>
        <w:rPr>
          <w:rFonts w:hint="default" w:ascii="Times New Roman" w:hAnsi="Times New Roman" w:eastAsia="方正仿宋_GBK" w:cs="Times New Roman"/>
          <w:b/>
          <w:bCs/>
          <w:sz w:val="28"/>
          <w:szCs w:val="28"/>
        </w:rPr>
        <w:t>表6  地下矿山固有风险评分表</w:t>
      </w:r>
    </w:p>
    <w:tbl>
      <w:tblPr>
        <w:tblStyle w:val="7"/>
        <w:tblW w:w="1258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8"/>
        <w:gridCol w:w="1024"/>
        <w:gridCol w:w="1006"/>
        <w:gridCol w:w="1125"/>
        <w:gridCol w:w="4344"/>
        <w:gridCol w:w="675"/>
        <w:gridCol w:w="2512"/>
        <w:gridCol w:w="674"/>
        <w:gridCol w:w="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blHeader/>
        </w:trPr>
        <w:tc>
          <w:tcPr>
            <w:tcW w:w="538" w:type="dxa"/>
            <w:vAlign w:val="center"/>
          </w:tcPr>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序号</w:t>
            </w:r>
          </w:p>
        </w:tc>
        <w:tc>
          <w:tcPr>
            <w:tcW w:w="1024" w:type="dxa"/>
            <w:vAlign w:val="center"/>
          </w:tcPr>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一级</w:t>
            </w:r>
          </w:p>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指标</w:t>
            </w:r>
          </w:p>
        </w:tc>
        <w:tc>
          <w:tcPr>
            <w:tcW w:w="2131" w:type="dxa"/>
            <w:gridSpan w:val="2"/>
            <w:vAlign w:val="center"/>
          </w:tcPr>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二级指标</w:t>
            </w:r>
          </w:p>
        </w:tc>
        <w:tc>
          <w:tcPr>
            <w:tcW w:w="4344" w:type="dxa"/>
            <w:vAlign w:val="center"/>
          </w:tcPr>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指标检查内容</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bCs/>
                <w:sz w:val="21"/>
                <w:szCs w:val="21"/>
              </w:rPr>
              <w:t>标准</w:t>
            </w:r>
          </w:p>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bCs/>
                <w:sz w:val="21"/>
                <w:szCs w:val="21"/>
              </w:rPr>
              <w:t>分值</w:t>
            </w:r>
          </w:p>
        </w:tc>
        <w:tc>
          <w:tcPr>
            <w:tcW w:w="2512" w:type="dxa"/>
            <w:vAlign w:val="center"/>
          </w:tcPr>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检查方式</w:t>
            </w:r>
          </w:p>
        </w:tc>
        <w:tc>
          <w:tcPr>
            <w:tcW w:w="674" w:type="dxa"/>
            <w:vAlign w:val="center"/>
          </w:tcPr>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检查</w:t>
            </w:r>
          </w:p>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情况</w:t>
            </w:r>
          </w:p>
        </w:tc>
        <w:tc>
          <w:tcPr>
            <w:tcW w:w="682" w:type="dxa"/>
            <w:vAlign w:val="center"/>
          </w:tcPr>
          <w:p>
            <w:pPr>
              <w:pStyle w:val="15"/>
              <w:snapToGrid w:val="0"/>
              <w:spacing w:before="0" w:beforeLines="0" w:after="0" w:afterLines="0" w:line="240" w:lineRule="auto"/>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w:t>
            </w:r>
          </w:p>
        </w:tc>
        <w:tc>
          <w:tcPr>
            <w:tcW w:w="102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人员</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配备</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同时最大下井人数</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（4分）</w:t>
            </w:r>
          </w:p>
        </w:tc>
        <w:tc>
          <w:tcPr>
            <w:tcW w:w="4344"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＜10人</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检查企业花名册和工作制度，查看人员出入井记录。</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10～29人</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30～49人</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50人及以上</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技术人员配备情况</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（2分）</w:t>
            </w: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配有采矿、地质、测量、机电、安全等专业的专职技术人员各1人，总人数≥5。</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0.5</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1、检查劳动合同、社保和相关证书；</w:t>
            </w:r>
          </w:p>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2、专职技术人员须有相关专业中专及以上学历或者中级及以上技术职称。</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配有采矿、地质、测量、机电、安全等专业技术人员，3≤总人数＜5（专业不重复）。</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配有采矿、地质、测量、机电、安全等专业技术人员，总人数＜3（专业不重复）。</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从业人员文化程度</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（2分）</w:t>
            </w: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高中及以上文化程度，占比≥50%。</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0.5</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检查企业花名册和职工学历证书。</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高中及以上文化程度，30%≤占比＜50%。</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高中及以上文化程度，占比＜30%。</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从业人员工作年限</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（2分）</w:t>
            </w: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3年以上矿山工作经验人数占比≥80%。</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0.5</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检查职工档案、社保和劳动合同。</w:t>
            </w:r>
          </w:p>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rPr>
              <w:t>3年以上矿山工作经验人数50%≤占比＜80%</w:t>
            </w:r>
            <w:r>
              <w:rPr>
                <w:rFonts w:hint="default" w:ascii="Times New Roman" w:hAnsi="Times New Roman" w:eastAsia="方正仿宋_GBK" w:cs="Times New Roman"/>
                <w:sz w:val="18"/>
                <w:szCs w:val="18"/>
                <w:lang w:eastAsia="zh-CN"/>
              </w:rPr>
              <w:t>。</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3年以上矿山工作经验人数，占比＜50%。</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二</w:t>
            </w:r>
          </w:p>
        </w:tc>
        <w:tc>
          <w:tcPr>
            <w:tcW w:w="102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开采深度</w:t>
            </w:r>
          </w:p>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生产中段离最近安全出口垂直距离</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rPr>
              <w:t>设计中段距地面安全出口</w:t>
            </w:r>
            <w:r>
              <w:rPr>
                <w:rFonts w:hint="default" w:ascii="Times New Roman" w:hAnsi="Times New Roman" w:eastAsia="方正仿宋_GBK" w:cs="Times New Roman"/>
                <w:sz w:val="18"/>
                <w:szCs w:val="18"/>
                <w:lang w:val="en-US" w:eastAsia="zh-CN"/>
              </w:rPr>
              <w:t>最大</w:t>
            </w:r>
            <w:r>
              <w:rPr>
                <w:rFonts w:hint="default" w:ascii="Times New Roman" w:hAnsi="Times New Roman" w:eastAsia="方正仿宋_GBK" w:cs="Times New Roman"/>
                <w:sz w:val="18"/>
                <w:szCs w:val="18"/>
              </w:rPr>
              <w:t>垂直距离h≤30m</w:t>
            </w:r>
            <w:r>
              <w:rPr>
                <w:rFonts w:hint="default" w:ascii="Times New Roman" w:hAnsi="Times New Roman" w:eastAsia="方正仿宋_GBK" w:cs="Times New Roman"/>
                <w:sz w:val="18"/>
                <w:szCs w:val="18"/>
                <w:lang w:eastAsia="zh-CN"/>
              </w:rPr>
              <w:t>。</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检查设计报告。</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rPr>
              <w:t>设计中段距地面安全出口</w:t>
            </w:r>
            <w:r>
              <w:rPr>
                <w:rFonts w:hint="default" w:ascii="Times New Roman" w:hAnsi="Times New Roman" w:eastAsia="方正仿宋_GBK" w:cs="Times New Roman"/>
                <w:sz w:val="18"/>
                <w:szCs w:val="18"/>
                <w:lang w:val="en-US" w:eastAsia="zh-CN"/>
              </w:rPr>
              <w:t>最大</w:t>
            </w:r>
            <w:r>
              <w:rPr>
                <w:rFonts w:hint="default" w:ascii="Times New Roman" w:hAnsi="Times New Roman" w:eastAsia="方正仿宋_GBK" w:cs="Times New Roman"/>
                <w:sz w:val="18"/>
                <w:szCs w:val="18"/>
              </w:rPr>
              <w:t>垂直距离30＜h≤60m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rPr>
              <w:t>设计中段距地面安全出口</w:t>
            </w:r>
            <w:r>
              <w:rPr>
                <w:rFonts w:hint="default" w:ascii="Times New Roman" w:hAnsi="Times New Roman" w:eastAsia="方正仿宋_GBK" w:cs="Times New Roman"/>
                <w:sz w:val="18"/>
                <w:szCs w:val="18"/>
                <w:lang w:val="en-US" w:eastAsia="zh-CN"/>
              </w:rPr>
              <w:t>最大</w:t>
            </w:r>
            <w:r>
              <w:rPr>
                <w:rFonts w:hint="default" w:ascii="Times New Roman" w:hAnsi="Times New Roman" w:eastAsia="方正仿宋_GBK" w:cs="Times New Roman"/>
                <w:sz w:val="18"/>
                <w:szCs w:val="18"/>
              </w:rPr>
              <w:t>垂直距离60＜h≤100m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设计中段距地面安全出口</w:t>
            </w:r>
            <w:r>
              <w:rPr>
                <w:rFonts w:hint="default" w:ascii="Times New Roman" w:hAnsi="Times New Roman" w:eastAsia="方正仿宋_GBK" w:cs="Times New Roman"/>
                <w:sz w:val="18"/>
                <w:szCs w:val="18"/>
                <w:lang w:val="en-US" w:eastAsia="zh-CN"/>
              </w:rPr>
              <w:t>最大</w:t>
            </w:r>
            <w:r>
              <w:rPr>
                <w:rFonts w:hint="default" w:ascii="Times New Roman" w:hAnsi="Times New Roman" w:eastAsia="方正仿宋_GBK" w:cs="Times New Roman"/>
                <w:sz w:val="18"/>
                <w:szCs w:val="18"/>
              </w:rPr>
              <w:t>垂直距离h＞100m。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2512"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三</w:t>
            </w:r>
          </w:p>
        </w:tc>
        <w:tc>
          <w:tcPr>
            <w:tcW w:w="102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开拓</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方式</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（三选一）</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1006"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平硐开拓</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（6分）</w:t>
            </w: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运输方式（2分）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有轨运输。</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检查设计报告和实测图、勘查现场、实测相关参数。</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无轨运输。</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巷道长度（2分）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巷道开拓长度L≤500m。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0.5</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巷道开拓长度500m＜L≤1500m。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巷道开拓长度L＞1500m。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巷道高度</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巷道高度2m＜h≤4m。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0.5</w:t>
            </w:r>
          </w:p>
        </w:tc>
        <w:tc>
          <w:tcPr>
            <w:tcW w:w="2512"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巷道高度4m＜h≤6m。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巷道高度h＞6m或h≤2m。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斜坡道开拓（8分）</w:t>
            </w: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斜坡道长度（2分）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斜坡道长度L≤500m。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0.5</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检查设计报告和实测图、勘查现场、实测相关参数。</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斜坡道长度500m＜L≤1500m。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斜坡道长度L＞1500m。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斜坡道坡度（4分）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坡度i≤10%</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局部坡度10%＜i≤15%。</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局部坡度</w:t>
            </w:r>
            <w:r>
              <w:rPr>
                <w:rFonts w:hint="default" w:ascii="Times New Roman" w:hAnsi="Times New Roman" w:eastAsia="方正仿宋_GBK" w:cs="Times New Roman"/>
                <w:sz w:val="18"/>
                <w:szCs w:val="18"/>
                <w:u w:val="single"/>
              </w:rPr>
              <w:t>i</w:t>
            </w:r>
            <w:r>
              <w:rPr>
                <w:rFonts w:hint="default" w:ascii="Times New Roman" w:hAnsi="Times New Roman" w:eastAsia="方正仿宋_GBK" w:cs="Times New Roman"/>
                <w:sz w:val="18"/>
                <w:szCs w:val="18"/>
              </w:rPr>
              <w:t>＞15%。</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巷道高度</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巷道高度2m＜h≤4m。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0.5</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巷道高度4m＜h≤6m。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巷道高度h＞6m或h≤2m。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斜井开拓（10分）</w:t>
            </w:r>
          </w:p>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单级斜井长度（6分）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斜井长度L≤50m。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检查设计报告和实测图、勘查现场、实测相关参数。</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斜井长度50m＜L≤100m。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斜井长度L＞100m。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最大斜井坡度（4分）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斜井坡度i≤20°。</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斜井坡度20°＜i≤25°。</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斜井坡度i＞25°。</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251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四</w:t>
            </w:r>
          </w:p>
        </w:tc>
        <w:tc>
          <w:tcPr>
            <w:tcW w:w="102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采矿</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方法</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（三选一）</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1006"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房柱法（10分）</w:t>
            </w: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采场高度</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采场高度h≤3m。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检查设计报告和实测图、勘查现场、实测相关参数。</w:t>
            </w:r>
          </w:p>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采场高度3m＜h≤6m。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采场高度h＞6m。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矿柱直径</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矿柱直径Φ＞6m。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矿柱直径Φ≤6m。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矿柱间距</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矿柱间距L≤5m。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矿柱间距5m＜L≤8m。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矿柱间距L＞8m。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留矿法</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中段高度</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中段高度h≤50m。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中段高度h＞50m。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矿块长度</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矿块长度L≤50m。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06"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125"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矿块长度L＞50m。</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充填法（4分）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采用充填法开采。</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2512" w:type="dxa"/>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五</w:t>
            </w:r>
          </w:p>
        </w:tc>
        <w:tc>
          <w:tcPr>
            <w:tcW w:w="102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机械化、信息化程度（15分）</w:t>
            </w: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顶板处理</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t>撬毛台车处理。</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现场检查作业方式</w:t>
            </w:r>
            <w:r>
              <w:rPr>
                <w:rFonts w:hint="default" w:ascii="Times New Roman" w:hAnsi="Times New Roman" w:eastAsia="方正仿宋_GBK" w:cs="Times New Roman"/>
                <w:color w:val="000000"/>
                <w:kern w:val="0"/>
                <w:sz w:val="18"/>
                <w:szCs w:val="18"/>
              </w:rPr>
              <w:t>，查阅相关排危记录。</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改装炮机处理。</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人工方式处理</w:t>
            </w:r>
            <w:r>
              <w:rPr>
                <w:rFonts w:hint="default" w:ascii="Times New Roman" w:hAnsi="Times New Roman" w:eastAsia="方正仿宋_GBK" w:cs="Times New Roman"/>
                <w:color w:val="000000"/>
                <w:kern w:val="0"/>
                <w:sz w:val="18"/>
                <w:szCs w:val="18"/>
              </w:rPr>
              <w:t>。</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2512" w:type="dxa"/>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自动化控制</w:t>
            </w:r>
          </w:p>
          <w:p>
            <w:pPr>
              <w:pStyle w:val="15"/>
              <w:snapToGrid w:val="0"/>
              <w:spacing w:before="0" w:beforeLines="0" w:after="0" w:afterLines="0" w:line="240" w:lineRule="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color w:val="000000"/>
                <w:kern w:val="0"/>
                <w:sz w:val="18"/>
                <w:szCs w:val="18"/>
              </w:rPr>
              <w:t>生产过程自动化控制，地面远程遥控生产</w:t>
            </w:r>
            <w:r>
              <w:rPr>
                <w:rFonts w:hint="default" w:ascii="Times New Roman" w:hAnsi="Times New Roman" w:eastAsia="方正仿宋_GBK" w:cs="Times New Roman"/>
                <w:color w:val="000000"/>
                <w:kern w:val="0"/>
                <w:sz w:val="18"/>
                <w:szCs w:val="18"/>
                <w:lang w:eastAsia="zh-CN"/>
              </w:rPr>
              <w:t>。</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0.5</w:t>
            </w:r>
          </w:p>
        </w:tc>
        <w:tc>
          <w:tcPr>
            <w:tcW w:w="2512"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井下生产是否有自动化控制设备，是否实际运用。</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color w:val="000000"/>
                <w:kern w:val="0"/>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井下生产设备部分实现地面远程控制。</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color w:val="000000"/>
                <w:kern w:val="0"/>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井下生产设备未实现地面远程控制。</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2512" w:type="dxa"/>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信息化管理</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标准化管理体系实现信息化管理。</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0.5</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检查是否有信息化管理系统并运用。</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标准化管理体系部分内容实现信息化管理。</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rPr>
              <w:t>未使用信息化管理系统，传统纸质资料记录</w:t>
            </w:r>
            <w:r>
              <w:rPr>
                <w:rFonts w:hint="default" w:ascii="Times New Roman" w:hAnsi="Times New Roman" w:eastAsia="方正仿宋_GBK" w:cs="Times New Roman"/>
                <w:sz w:val="18"/>
                <w:szCs w:val="18"/>
                <w:lang w:eastAsia="zh-CN"/>
              </w:rPr>
              <w:t>。</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六</w:t>
            </w:r>
          </w:p>
        </w:tc>
        <w:tc>
          <w:tcPr>
            <w:tcW w:w="102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工程地质条件</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（20分）</w:t>
            </w: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围岩结构</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（5分）</w:t>
            </w: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以巨厚层状-块状整体结构为主。</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检查企业地质报告，实地勘查。</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以薄-厚层状结构为主。</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以破碎结构、散体结构为主。</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地质构造</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地质构造简单。</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检查企业地质报告，实地勘查。</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地质构造较复杂（中等）。</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地质构造复杂。</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251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井下不良地质现象</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不存在不良地质现象（岩溶、土洞等）。</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检查企业地质报告，设计报告，实地勘查和问询。</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存在单一不良地质现象（岩溶、土洞等）。</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存在多种不良地质现象（岩溶、土洞等）。</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251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有毒有害气体</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矿体中不含硫，未穿越煤系地层。</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检查企业地质报告，设计报告，实地勘查和问询。</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矿体中含硫或穿越煤系地层，可能产生H</w:t>
            </w:r>
            <w:r>
              <w:rPr>
                <w:rFonts w:hint="default" w:ascii="Times New Roman" w:hAnsi="Times New Roman" w:eastAsia="方正仿宋_GBK" w:cs="Times New Roman"/>
                <w:sz w:val="18"/>
                <w:szCs w:val="18"/>
                <w:vertAlign w:val="subscript"/>
              </w:rPr>
              <w:t>2</w:t>
            </w:r>
            <w:r>
              <w:rPr>
                <w:rFonts w:hint="default" w:ascii="Times New Roman" w:hAnsi="Times New Roman" w:eastAsia="方正仿宋_GBK" w:cs="Times New Roman"/>
                <w:sz w:val="18"/>
                <w:szCs w:val="18"/>
              </w:rPr>
              <w:t>S、SO</w:t>
            </w:r>
            <w:r>
              <w:rPr>
                <w:rFonts w:hint="default" w:ascii="Times New Roman" w:hAnsi="Times New Roman" w:eastAsia="方正仿宋_GBK" w:cs="Times New Roman"/>
                <w:sz w:val="18"/>
                <w:szCs w:val="18"/>
                <w:vertAlign w:val="subscript"/>
              </w:rPr>
              <w:t>2</w:t>
            </w:r>
            <w:r>
              <w:rPr>
                <w:rFonts w:hint="default" w:ascii="Times New Roman" w:hAnsi="Times New Roman" w:eastAsia="方正仿宋_GBK" w:cs="Times New Roman"/>
                <w:sz w:val="18"/>
                <w:szCs w:val="18"/>
              </w:rPr>
              <w:t>或CH</w:t>
            </w:r>
            <w:r>
              <w:rPr>
                <w:rFonts w:hint="default" w:ascii="Times New Roman" w:hAnsi="Times New Roman" w:eastAsia="方正仿宋_GBK" w:cs="Times New Roman"/>
                <w:sz w:val="18"/>
                <w:szCs w:val="18"/>
                <w:vertAlign w:val="subscript"/>
              </w:rPr>
              <w:t>4</w:t>
            </w:r>
            <w:r>
              <w:rPr>
                <w:rFonts w:hint="default" w:ascii="Times New Roman" w:hAnsi="Times New Roman" w:eastAsia="方正仿宋_GBK" w:cs="Times New Roman"/>
                <w:sz w:val="18"/>
                <w:szCs w:val="18"/>
              </w:rPr>
              <w:t>气体。</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矿体中含硫，且穿越煤系地层，可能产生H</w:t>
            </w:r>
            <w:r>
              <w:rPr>
                <w:rFonts w:hint="default" w:ascii="Times New Roman" w:hAnsi="Times New Roman" w:eastAsia="方正仿宋_GBK" w:cs="Times New Roman"/>
                <w:sz w:val="18"/>
                <w:szCs w:val="18"/>
                <w:vertAlign w:val="subscript"/>
              </w:rPr>
              <w:t>2</w:t>
            </w:r>
            <w:r>
              <w:rPr>
                <w:rFonts w:hint="default" w:ascii="Times New Roman" w:hAnsi="Times New Roman" w:eastAsia="方正仿宋_GBK" w:cs="Times New Roman"/>
                <w:sz w:val="18"/>
                <w:szCs w:val="18"/>
              </w:rPr>
              <w:t>S、SO</w:t>
            </w:r>
            <w:r>
              <w:rPr>
                <w:rFonts w:hint="default" w:ascii="Times New Roman" w:hAnsi="Times New Roman" w:eastAsia="方正仿宋_GBK" w:cs="Times New Roman"/>
                <w:sz w:val="18"/>
                <w:szCs w:val="18"/>
                <w:vertAlign w:val="subscript"/>
              </w:rPr>
              <w:t>2</w:t>
            </w:r>
            <w:r>
              <w:rPr>
                <w:rFonts w:hint="default" w:ascii="Times New Roman" w:hAnsi="Times New Roman" w:eastAsia="方正仿宋_GBK" w:cs="Times New Roman"/>
                <w:sz w:val="18"/>
                <w:szCs w:val="18"/>
              </w:rPr>
              <w:t>和CH</w:t>
            </w:r>
            <w:r>
              <w:rPr>
                <w:rFonts w:hint="default" w:ascii="Times New Roman" w:hAnsi="Times New Roman" w:eastAsia="方正仿宋_GBK" w:cs="Times New Roman"/>
                <w:sz w:val="18"/>
                <w:szCs w:val="18"/>
                <w:vertAlign w:val="subscript"/>
              </w:rPr>
              <w:t>4</w:t>
            </w:r>
            <w:r>
              <w:rPr>
                <w:rFonts w:hint="default" w:ascii="Times New Roman" w:hAnsi="Times New Roman" w:eastAsia="方正仿宋_GBK" w:cs="Times New Roman"/>
                <w:sz w:val="18"/>
                <w:szCs w:val="18"/>
              </w:rPr>
              <w:t>气体。</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251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tcBorders>
              <w:bottom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七</w:t>
            </w:r>
          </w:p>
        </w:tc>
        <w:tc>
          <w:tcPr>
            <w:tcW w:w="102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水文地质条件（10分）</w:t>
            </w: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水文地质类型</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水文地质类型：简单。</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查阅水文地质报告和相关图件资料，现场勘查。</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水文地质类型：中等。</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水文地质类型：复杂。</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地表水体</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rPr>
              <w:t>矿井开采无河流、湖泊、水库地表水系影响</w:t>
            </w:r>
            <w:r>
              <w:rPr>
                <w:rFonts w:hint="default" w:ascii="Times New Roman" w:hAnsi="Times New Roman" w:eastAsia="方正仿宋_GBK" w:cs="Times New Roman"/>
                <w:sz w:val="18"/>
                <w:szCs w:val="18"/>
                <w:lang w:eastAsia="zh-CN"/>
              </w:rPr>
              <w:t>。</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 w:hRule="atLeast"/>
        </w:trPr>
        <w:tc>
          <w:tcPr>
            <w:tcW w:w="538"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rPr>
              <w:t>矿井开采有河流、湖泊、水库地表水系影响</w:t>
            </w:r>
            <w:r>
              <w:rPr>
                <w:rFonts w:hint="default" w:ascii="Times New Roman" w:hAnsi="Times New Roman" w:eastAsia="方正仿宋_GBK" w:cs="Times New Roman"/>
                <w:sz w:val="18"/>
                <w:szCs w:val="18"/>
                <w:lang w:eastAsia="zh-CN"/>
              </w:rPr>
              <w:t>。</w:t>
            </w:r>
          </w:p>
        </w:tc>
        <w:tc>
          <w:tcPr>
            <w:tcW w:w="675" w:type="dxa"/>
            <w:tcBorders>
              <w:top w:val="single" w:color="000000" w:sz="4" w:space="0"/>
              <w:left w:val="single" w:color="000000" w:sz="4" w:space="0"/>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2512" w:type="dxa"/>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74" w:type="dxa"/>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tcBorders>
              <w:bottom w:val="single" w:color="000000" w:sz="4" w:space="0"/>
            </w:tcBorders>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八</w:t>
            </w:r>
          </w:p>
        </w:tc>
        <w:tc>
          <w:tcPr>
            <w:tcW w:w="102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采空区（10分）</w:t>
            </w: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z w:val="18"/>
                <w:szCs w:val="18"/>
                <w14:textFill>
                  <w14:solidFill>
                    <w14:schemeClr w14:val="tx1"/>
                  </w14:solidFill>
                </w14:textFill>
              </w:rPr>
              <w:t>采空区情况</w:t>
            </w:r>
          </w:p>
          <w:p>
            <w:pPr>
              <w:pStyle w:val="15"/>
              <w:snapToGrid w:val="0"/>
              <w:spacing w:before="0" w:beforeLines="0" w:after="0" w:afterLines="0" w:line="240" w:lineRule="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z w:val="18"/>
                <w:szCs w:val="18"/>
                <w14:textFill>
                  <w14:solidFill>
                    <w14:schemeClr w14:val="tx1"/>
                  </w14:solidFill>
                </w14:textFill>
              </w:rPr>
              <w:t>（10分）</w:t>
            </w: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000000" w:themeColor="text1"/>
                <w:sz w:val="18"/>
                <w:szCs w:val="18"/>
                <w:lang w:val="en-US"/>
                <w14:textFill>
                  <w14:solidFill>
                    <w14:schemeClr w14:val="tx1"/>
                  </w14:solidFill>
                </w14:textFill>
              </w:rPr>
            </w:pPr>
            <w:r>
              <w:rPr>
                <w:rFonts w:hint="default" w:ascii="Times New Roman" w:hAnsi="Times New Roman" w:eastAsia="方正仿宋_GBK" w:cs="Times New Roman"/>
                <w:color w:val="000000" w:themeColor="text1"/>
                <w:sz w:val="18"/>
                <w:szCs w:val="18"/>
                <w14:textFill>
                  <w14:solidFill>
                    <w14:schemeClr w14:val="tx1"/>
                  </w14:solidFill>
                </w14:textFill>
              </w:rPr>
              <w:t>采空区</w:t>
            </w:r>
            <w: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t>在工作面附近（距离小于100m），</w:t>
            </w:r>
            <w:r>
              <w:rPr>
                <w:rFonts w:hint="default" w:ascii="Times New Roman" w:hAnsi="Times New Roman" w:eastAsia="方正仿宋_GBK" w:cs="Times New Roman"/>
                <w:color w:val="000000" w:themeColor="text1"/>
                <w:sz w:val="18"/>
                <w:szCs w:val="18"/>
                <w14:textFill>
                  <w14:solidFill>
                    <w14:schemeClr w14:val="tx1"/>
                  </w14:solidFill>
                </w14:textFill>
              </w:rPr>
              <w:t>采空区面积</w:t>
            </w:r>
            <w: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t>小于10000m</w:t>
            </w:r>
            <w:r>
              <w:rPr>
                <w:rFonts w:hint="default" w:ascii="Times New Roman" w:hAnsi="Times New Roman" w:eastAsia="方正仿宋_GBK" w:cs="Times New Roman"/>
                <w:color w:val="000000" w:themeColor="text1"/>
                <w:sz w:val="18"/>
                <w:szCs w:val="18"/>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18"/>
                <w:szCs w:val="18"/>
                <w:lang w:eastAsia="zh-CN"/>
                <w14:textFill>
                  <w14:solidFill>
                    <w14:schemeClr w14:val="tx1"/>
                  </w14:solidFill>
                </w14:textFill>
              </w:rPr>
              <w:t>。</w:t>
            </w:r>
          </w:p>
        </w:tc>
        <w:tc>
          <w:tcPr>
            <w:tcW w:w="675" w:type="dxa"/>
            <w:tcBorders>
              <w:top w:val="single" w:color="000000" w:sz="4" w:space="0"/>
              <w:left w:val="single" w:color="000000" w:sz="4" w:space="0"/>
            </w:tcBorders>
            <w:vAlign w:val="center"/>
          </w:tcPr>
          <w:p>
            <w:pPr>
              <w:pStyle w:val="15"/>
              <w:snapToGrid w:val="0"/>
              <w:spacing w:before="0" w:beforeLines="0" w:after="0" w:afterLines="0" w:line="240" w:lineRule="auto"/>
              <w:jc w:val="cente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pPr>
            <w: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t>5</w:t>
            </w:r>
          </w:p>
        </w:tc>
        <w:tc>
          <w:tcPr>
            <w:tcW w:w="2512"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查阅相关技术资料</w:t>
            </w:r>
          </w:p>
        </w:tc>
        <w:tc>
          <w:tcPr>
            <w:tcW w:w="67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c>
          <w:tcPr>
            <w:tcW w:w="102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c>
          <w:tcPr>
            <w:tcW w:w="2131" w:type="dxa"/>
            <w:gridSpan w:val="2"/>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000000" w:themeColor="text1"/>
                <w:sz w:val="18"/>
                <w:szCs w:val="18"/>
                <w:lang w:eastAsia="zh-CN"/>
                <w14:textFill>
                  <w14:solidFill>
                    <w14:schemeClr w14:val="tx1"/>
                  </w14:solidFill>
                </w14:textFill>
              </w:rPr>
            </w:pPr>
            <w:r>
              <w:rPr>
                <w:rFonts w:hint="default" w:ascii="Times New Roman" w:hAnsi="Times New Roman" w:eastAsia="方正仿宋_GBK" w:cs="Times New Roman"/>
                <w:color w:val="000000" w:themeColor="text1"/>
                <w:sz w:val="18"/>
                <w:szCs w:val="18"/>
                <w14:textFill>
                  <w14:solidFill>
                    <w14:schemeClr w14:val="tx1"/>
                  </w14:solidFill>
                </w14:textFill>
              </w:rPr>
              <w:t>采空区</w:t>
            </w:r>
            <w: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t>在工作面附近（距离小于100m），</w:t>
            </w:r>
            <w:r>
              <w:rPr>
                <w:rFonts w:hint="default" w:ascii="Times New Roman" w:hAnsi="Times New Roman" w:eastAsia="方正仿宋_GBK" w:cs="Times New Roman"/>
                <w:color w:val="000000" w:themeColor="text1"/>
                <w:sz w:val="18"/>
                <w:szCs w:val="18"/>
                <w14:textFill>
                  <w14:solidFill>
                    <w14:schemeClr w14:val="tx1"/>
                  </w14:solidFill>
                </w14:textFill>
              </w:rPr>
              <w:t>采空区</w:t>
            </w:r>
            <w: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t>面积</w:t>
            </w:r>
            <w:r>
              <w:rPr>
                <w:rFonts w:hint="default" w:ascii="Times New Roman" w:hAnsi="Times New Roman" w:eastAsia="方正仿宋_GBK" w:cs="Times New Roman"/>
                <w:color w:val="000000" w:themeColor="text1"/>
                <w:sz w:val="18"/>
                <w:szCs w:val="18"/>
                <w14:textFill>
                  <w14:solidFill>
                    <w14:schemeClr w14:val="tx1"/>
                  </w14:solidFill>
                </w14:textFill>
              </w:rPr>
              <w:t>≥</w:t>
            </w:r>
            <w: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t>10000m</w:t>
            </w:r>
            <w:r>
              <w:rPr>
                <w:rFonts w:hint="default" w:ascii="Times New Roman" w:hAnsi="Times New Roman" w:eastAsia="方正仿宋_GBK" w:cs="Times New Roman"/>
                <w:color w:val="000000" w:themeColor="text1"/>
                <w:sz w:val="18"/>
                <w:szCs w:val="18"/>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18"/>
                <w:szCs w:val="18"/>
                <w:lang w:eastAsia="zh-CN"/>
                <w14:textFill>
                  <w14:solidFill>
                    <w14:schemeClr w14:val="tx1"/>
                  </w14:solidFill>
                </w14:textFill>
              </w:rPr>
              <w:t>。</w:t>
            </w:r>
          </w:p>
        </w:tc>
        <w:tc>
          <w:tcPr>
            <w:tcW w:w="675" w:type="dxa"/>
            <w:tcBorders>
              <w:left w:val="single" w:color="000000" w:sz="4" w:space="0"/>
            </w:tcBorders>
            <w:vAlign w:val="center"/>
          </w:tcPr>
          <w:p>
            <w:pPr>
              <w:pStyle w:val="15"/>
              <w:snapToGrid w:val="0"/>
              <w:spacing w:before="0" w:beforeLines="0" w:after="0" w:afterLines="0" w:line="240" w:lineRule="auto"/>
              <w:jc w:val="cente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pPr>
            <w: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t>10</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c>
          <w:tcPr>
            <w:tcW w:w="102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c>
          <w:tcPr>
            <w:tcW w:w="2131" w:type="dxa"/>
            <w:gridSpan w:val="2"/>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4344" w:type="dxa"/>
            <w:tcBorders>
              <w:top w:val="single" w:color="000000" w:sz="4" w:space="0"/>
              <w:bottom w:val="single" w:color="000000" w:sz="4" w:space="0"/>
              <w:right w:val="single" w:color="000000" w:sz="4" w:space="0"/>
            </w:tcBorders>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18"/>
                <w:szCs w:val="18"/>
                <w14:textFill>
                  <w14:solidFill>
                    <w14:schemeClr w14:val="tx1"/>
                  </w14:solidFill>
                </w14:textFill>
              </w:rPr>
              <w:t>未查明</w:t>
            </w:r>
            <w:r>
              <w:rPr>
                <w:rFonts w:hint="default" w:ascii="Times New Roman" w:hAnsi="Times New Roman" w:eastAsia="方正仿宋_GBK" w:cs="Times New Roman"/>
                <w:b w:val="0"/>
                <w:bCs w:val="0"/>
                <w:color w:val="000000" w:themeColor="text1"/>
                <w:sz w:val="18"/>
                <w:szCs w:val="18"/>
                <w14:textFill>
                  <w14:solidFill>
                    <w14:schemeClr w14:val="tx1"/>
                  </w14:solidFill>
                </w14:textFill>
              </w:rPr>
              <w:t>采空区分布情况（包括位置、形态、面积、高度、跨度、体积、形成时间、积水状况等）</w:t>
            </w:r>
            <w:r>
              <w:rPr>
                <w:rFonts w:hint="default" w:ascii="Times New Roman" w:hAnsi="Times New Roman" w:eastAsia="方正仿宋_GBK" w:cs="Times New Roman"/>
                <w:color w:val="000000" w:themeColor="text1"/>
                <w:sz w:val="18"/>
                <w:szCs w:val="18"/>
                <w14:textFill>
                  <w14:solidFill>
                    <w14:schemeClr w14:val="tx1"/>
                  </w14:solidFill>
                </w14:textFill>
              </w:rPr>
              <w:t>。</w:t>
            </w:r>
          </w:p>
        </w:tc>
        <w:tc>
          <w:tcPr>
            <w:tcW w:w="675" w:type="dxa"/>
            <w:tcBorders>
              <w:left w:val="single" w:color="000000" w:sz="4" w:space="0"/>
              <w:bottom w:val="single" w:color="000000" w:sz="4" w:space="0"/>
            </w:tcBorders>
            <w:vAlign w:val="center"/>
          </w:tcPr>
          <w:p>
            <w:pPr>
              <w:pStyle w:val="15"/>
              <w:snapToGrid w:val="0"/>
              <w:spacing w:before="0" w:beforeLines="0" w:after="0" w:afterLines="0" w:line="240" w:lineRule="auto"/>
              <w:jc w:val="center"/>
              <w:rPr>
                <w:rFonts w:hint="default" w:ascii="Times New Roman" w:hAnsi="Times New Roman" w:eastAsia="方正仿宋_GBK"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18"/>
                <w:szCs w:val="18"/>
                <w14:textFill>
                  <w14:solidFill>
                    <w14:schemeClr w14:val="tx1"/>
                  </w14:solidFill>
                </w14:textFill>
              </w:rPr>
              <w:t>1</w:t>
            </w:r>
            <w: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t>0</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九</w:t>
            </w:r>
          </w:p>
        </w:tc>
        <w:tc>
          <w:tcPr>
            <w:tcW w:w="1024" w:type="dxa"/>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周边</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环境</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（5分）</w:t>
            </w:r>
          </w:p>
        </w:tc>
        <w:tc>
          <w:tcPr>
            <w:tcW w:w="2131" w:type="dxa"/>
            <w:gridSpan w:val="2"/>
            <w:vMerge w:val="restart"/>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地面地质灾害</w:t>
            </w:r>
          </w:p>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（5分）</w:t>
            </w: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井口或工业广场周边无滑坡、坍塌、泥石流等地质灾害。</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251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检查企业地质报告，实地勘查和问询。</w:t>
            </w:r>
          </w:p>
        </w:tc>
        <w:tc>
          <w:tcPr>
            <w:tcW w:w="674"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restart"/>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38"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1024" w:type="dxa"/>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2131" w:type="dxa"/>
            <w:gridSpan w:val="2"/>
            <w:vMerge w:val="continue"/>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p>
        </w:tc>
        <w:tc>
          <w:tcPr>
            <w:tcW w:w="4344" w:type="dxa"/>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井口或工业广场周边有滑坡、坍塌、泥石流等地质灾害。</w:t>
            </w:r>
          </w:p>
        </w:tc>
        <w:tc>
          <w:tcPr>
            <w:tcW w:w="675" w:type="dxa"/>
            <w:vAlign w:val="center"/>
          </w:tcPr>
          <w:p>
            <w:pPr>
              <w:pStyle w:val="15"/>
              <w:snapToGrid w:val="0"/>
              <w:spacing w:before="0" w:beforeLines="0" w:after="0" w:afterLines="0" w:line="240" w:lineRule="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251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74"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c>
          <w:tcPr>
            <w:tcW w:w="682" w:type="dxa"/>
            <w:vMerge w:val="continue"/>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12580" w:type="dxa"/>
            <w:gridSpan w:val="9"/>
            <w:vAlign w:val="center"/>
          </w:tcPr>
          <w:p>
            <w:pPr>
              <w:pStyle w:val="15"/>
              <w:snapToGrid w:val="0"/>
              <w:spacing w:before="0" w:beforeLines="0" w:after="0" w:afterLines="0" w:line="240" w:lineRule="auto"/>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b/>
                <w:bCs/>
                <w:sz w:val="18"/>
                <w:szCs w:val="18"/>
              </w:rPr>
              <w:t>固有风险分值为：</w:t>
            </w:r>
            <w:r>
              <w:rPr>
                <w:rFonts w:hint="default" w:ascii="Times New Roman" w:hAnsi="Times New Roman" w:eastAsia="方正仿宋_GBK" w:cs="Times New Roman"/>
                <w:b/>
                <w:bCs/>
                <w:sz w:val="18"/>
                <w:szCs w:val="18"/>
                <w:u w:val="single"/>
              </w:rPr>
              <w:t xml:space="preserve">     </w:t>
            </w:r>
            <w:r>
              <w:rPr>
                <w:rFonts w:hint="default" w:ascii="Times New Roman" w:hAnsi="Times New Roman" w:eastAsia="方正仿宋_GBK" w:cs="Times New Roman"/>
                <w:b/>
                <w:bCs/>
                <w:sz w:val="18"/>
                <w:szCs w:val="18"/>
                <w:u w:val="single"/>
                <w:lang w:val="en-US" w:eastAsia="zh-CN"/>
              </w:rPr>
              <w:t xml:space="preserve">     </w:t>
            </w:r>
            <w:r>
              <w:rPr>
                <w:rFonts w:hint="default" w:ascii="Times New Roman" w:hAnsi="Times New Roman" w:eastAsia="方正仿宋_GBK" w:cs="Times New Roman"/>
                <w:b/>
                <w:bCs/>
                <w:sz w:val="18"/>
                <w:szCs w:val="18"/>
                <w:u w:val="single"/>
              </w:rPr>
              <w:t xml:space="preserve">    </w:t>
            </w:r>
            <w:r>
              <w:rPr>
                <w:rFonts w:hint="default" w:ascii="Times New Roman" w:hAnsi="Times New Roman" w:eastAsia="方正仿宋_GBK" w:cs="Times New Roman"/>
                <w:b/>
                <w:bCs/>
                <w:sz w:val="18"/>
                <w:szCs w:val="18"/>
              </w:rPr>
              <w:t>，固有风险等级：</w:t>
            </w:r>
            <w:r>
              <w:rPr>
                <w:rFonts w:hint="default" w:ascii="Times New Roman" w:hAnsi="Times New Roman" w:eastAsia="方正仿宋_GBK" w:cs="Times New Roman"/>
                <w:b/>
                <w:bCs/>
                <w:sz w:val="18"/>
                <w:szCs w:val="18"/>
                <w:u w:val="single"/>
              </w:rPr>
              <w:t xml:space="preserve">     </w:t>
            </w:r>
            <w:r>
              <w:rPr>
                <w:rFonts w:hint="default" w:ascii="Times New Roman" w:hAnsi="Times New Roman" w:eastAsia="方正仿宋_GBK" w:cs="Times New Roman"/>
                <w:b/>
                <w:bCs/>
                <w:sz w:val="18"/>
                <w:szCs w:val="18"/>
                <w:u w:val="single"/>
                <w:lang w:val="en-US" w:eastAsia="zh-CN"/>
              </w:rPr>
              <w:t xml:space="preserve">       </w:t>
            </w:r>
            <w:r>
              <w:rPr>
                <w:rFonts w:hint="default" w:ascii="Times New Roman" w:hAnsi="Times New Roman" w:eastAsia="方正仿宋_GBK" w:cs="Times New Roman"/>
                <w:b/>
                <w:bCs/>
                <w:sz w:val="18"/>
                <w:szCs w:val="18"/>
                <w:u w:val="single"/>
              </w:rPr>
              <w:t xml:space="preserve">    </w:t>
            </w:r>
            <w:r>
              <w:rPr>
                <w:rFonts w:hint="default" w:ascii="Times New Roman" w:hAnsi="Times New Roman" w:eastAsia="方正仿宋_GBK" w:cs="Times New Roman"/>
                <w:b/>
                <w:bCs/>
                <w:sz w:val="18"/>
                <w:szCs w:val="18"/>
              </w:rPr>
              <w:t>。</w:t>
            </w:r>
          </w:p>
        </w:tc>
      </w:tr>
    </w:tbl>
    <w:p>
      <w:pPr>
        <w:rPr>
          <w:rFonts w:hint="default" w:ascii="Times New Roman" w:hAnsi="Times New Roman" w:eastAsia="方正仿宋_GBK" w:cs="Times New Roman"/>
          <w:sz w:val="18"/>
          <w:szCs w:val="18"/>
        </w:rPr>
      </w:pPr>
    </w:p>
    <w:p>
      <w:pPr>
        <w:spacing w:before="159" w:beforeLines="50" w:after="159" w:afterLines="50" w:line="360" w:lineRule="auto"/>
        <w:jc w:val="center"/>
        <w:rPr>
          <w:rFonts w:hint="default" w:ascii="Times New Roman" w:hAnsi="Times New Roman" w:eastAsia="方正黑体_GBK" w:cs="Times New Roman"/>
          <w:b/>
          <w:bCs/>
          <w:sz w:val="18"/>
          <w:szCs w:val="18"/>
        </w:rPr>
      </w:pPr>
      <w:r>
        <w:rPr>
          <w:rFonts w:hint="default" w:ascii="Times New Roman" w:hAnsi="Times New Roman" w:eastAsia="方正仿宋_GBK" w:cs="Times New Roman"/>
          <w:sz w:val="18"/>
          <w:szCs w:val="18"/>
        </w:rPr>
        <w:br w:type="page"/>
      </w:r>
      <w:r>
        <w:rPr>
          <w:rFonts w:hint="default" w:ascii="Times New Roman" w:hAnsi="Times New Roman" w:eastAsia="方正黑体_GBK" w:cs="Times New Roman"/>
          <w:b/>
          <w:bCs/>
          <w:sz w:val="28"/>
          <w:szCs w:val="28"/>
        </w:rPr>
        <w:t>表7  地下矿山安全风险控制</w:t>
      </w:r>
      <w:r>
        <w:rPr>
          <w:rFonts w:hint="default" w:ascii="Times New Roman" w:hAnsi="Times New Roman" w:eastAsia="方正黑体_GBK" w:cs="Times New Roman"/>
          <w:b/>
          <w:bCs/>
          <w:sz w:val="28"/>
          <w:szCs w:val="28"/>
          <w:lang w:eastAsia="zh-CN"/>
        </w:rPr>
        <w:t>程度</w:t>
      </w:r>
      <w:r>
        <w:rPr>
          <w:rFonts w:hint="default" w:ascii="Times New Roman" w:hAnsi="Times New Roman" w:eastAsia="方正黑体_GBK" w:cs="Times New Roman"/>
          <w:b/>
          <w:bCs/>
          <w:sz w:val="28"/>
          <w:szCs w:val="28"/>
        </w:rPr>
        <w:t>评分表</w:t>
      </w:r>
    </w:p>
    <w:tbl>
      <w:tblPr>
        <w:tblStyle w:val="7"/>
        <w:tblW w:w="12675"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744"/>
        <w:gridCol w:w="30"/>
        <w:gridCol w:w="141"/>
        <w:gridCol w:w="759"/>
        <w:gridCol w:w="2305"/>
        <w:gridCol w:w="827"/>
        <w:gridCol w:w="1004"/>
        <w:gridCol w:w="4350"/>
        <w:gridCol w:w="130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11" w:type="dxa"/>
            <w:vAlign w:val="center"/>
          </w:tcPr>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序号</w:t>
            </w:r>
          </w:p>
        </w:tc>
        <w:tc>
          <w:tcPr>
            <w:tcW w:w="774" w:type="dxa"/>
            <w:gridSpan w:val="2"/>
            <w:vAlign w:val="center"/>
          </w:tcPr>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一级</w:t>
            </w:r>
          </w:p>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指标</w:t>
            </w:r>
          </w:p>
        </w:tc>
        <w:tc>
          <w:tcPr>
            <w:tcW w:w="900" w:type="dxa"/>
            <w:gridSpan w:val="2"/>
            <w:vAlign w:val="center"/>
          </w:tcPr>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 xml:space="preserve">二级 </w:t>
            </w:r>
          </w:p>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指标</w:t>
            </w:r>
          </w:p>
        </w:tc>
        <w:tc>
          <w:tcPr>
            <w:tcW w:w="2305" w:type="dxa"/>
            <w:vAlign w:val="center"/>
          </w:tcPr>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指标检</w:t>
            </w:r>
          </w:p>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查内容</w:t>
            </w:r>
          </w:p>
        </w:tc>
        <w:tc>
          <w:tcPr>
            <w:tcW w:w="827" w:type="dxa"/>
            <w:vAlign w:val="center"/>
          </w:tcPr>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标准</w:t>
            </w:r>
          </w:p>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分值</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检查</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方式</w:t>
            </w:r>
          </w:p>
        </w:tc>
        <w:tc>
          <w:tcPr>
            <w:tcW w:w="4350" w:type="dxa"/>
            <w:vAlign w:val="center"/>
          </w:tcPr>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扣分办法</w:t>
            </w:r>
          </w:p>
        </w:tc>
        <w:tc>
          <w:tcPr>
            <w:tcW w:w="1300" w:type="dxa"/>
            <w:vAlign w:val="center"/>
          </w:tcPr>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检查</w:t>
            </w:r>
          </w:p>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情况</w:t>
            </w:r>
          </w:p>
        </w:tc>
        <w:tc>
          <w:tcPr>
            <w:tcW w:w="704" w:type="dxa"/>
            <w:vAlign w:val="center"/>
          </w:tcPr>
          <w:p>
            <w:pPr>
              <w:snapToGrid w:val="0"/>
              <w:jc w:val="center"/>
              <w:rPr>
                <w:rFonts w:hint="default" w:ascii="Times New Roman" w:hAnsi="Times New Roman" w:eastAsia="方正仿宋_GBK" w:cs="Times New Roman"/>
                <w:b/>
                <w:bCs/>
                <w:color w:val="auto"/>
                <w:sz w:val="18"/>
                <w:szCs w:val="18"/>
              </w:rPr>
            </w:pPr>
            <w:r>
              <w:rPr>
                <w:rFonts w:hint="default" w:ascii="Times New Roman" w:hAnsi="Times New Roman" w:eastAsia="方正仿宋_GBK" w:cs="Times New Roman"/>
                <w:b/>
                <w:bCs/>
                <w:color w:val="auto"/>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w:t>
            </w:r>
          </w:p>
        </w:tc>
        <w:tc>
          <w:tcPr>
            <w:tcW w:w="774" w:type="dxa"/>
            <w:gridSpan w:val="2"/>
            <w:vMerge w:val="restart"/>
            <w:vAlign w:val="center"/>
          </w:tcPr>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基础</w:t>
            </w:r>
          </w:p>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管理（200分）</w:t>
            </w:r>
          </w:p>
        </w:tc>
        <w:tc>
          <w:tcPr>
            <w:tcW w:w="900" w:type="dxa"/>
            <w:gridSpan w:val="2"/>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安全管理机构</w:t>
            </w:r>
          </w:p>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是否设置安全生产管理机构。</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未设置安全生产管理机构不得分。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人员</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配备</w:t>
            </w:r>
          </w:p>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1.是否配备五职矿长：矿长、总工程师（技术负责人）、安全副矿长、生产副矿长、机电副矿长</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查阅任命文件和资格证书，每缺一名扣5分。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2.是否配备专职安全管理人员、注册安全工程师</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1.无专职安全生产管理人员不得分；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2.无注册安全工程师扣5分。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3.特殊工种是否取得特种作业操作证。</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企业通风作业、电气作业、提升机操作作业、排水作业、爆破作业、安全检查作业、支柱作业、焊接作业等，未取得有效特种作业操作证的，一人次扣10分。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安全</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投入</w:t>
            </w:r>
          </w:p>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1.是否建立安全生产费用提取和使用管理制度；</w:t>
            </w:r>
          </w:p>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2.是否建立安全生产费用提取和使用管理台账。</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1.未建立安全生产费用提取和使用管理制度扣5分；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2.无安全生产费用提取和使用管理台账，每差一个扣5分；安全生产费用未按规定提取、使用不得分。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安全教育培训</w:t>
            </w:r>
          </w:p>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1.是否建立安全培训制度</w:t>
            </w:r>
          </w:p>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2.是否编制安全培训计划</w:t>
            </w:r>
          </w:p>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3.是否建立安全生产教育培训档案、受训人员签到册以及考核结果情况</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1.未建立安全教育培训制度，扣10分；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2.未编制年度安全教育培训计划，扣5分；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3.无教育培训档案扣10分，档案记录不全扣5分；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4.新进员工培训不足72h和年度培训不足20h，一人次扣5分。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领导 带班</w:t>
            </w:r>
          </w:p>
        </w:tc>
        <w:tc>
          <w:tcPr>
            <w:tcW w:w="2305"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地下矿山企业是否执行领导带班下井制度。</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1.未建立领导带班下井制度，扣10分；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2.无领导带班下井公示牌，扣10分；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3.未执行领导带班下井制度不得分。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一线岗位人员责任落实</w:t>
            </w:r>
          </w:p>
        </w:tc>
        <w:tc>
          <w:tcPr>
            <w:tcW w:w="2305" w:type="dxa"/>
            <w:vAlign w:val="center"/>
          </w:tcPr>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1.是否编制“两单两卡”</w:t>
            </w:r>
            <w:r>
              <w:rPr>
                <w:rFonts w:hint="default" w:ascii="Times New Roman" w:hAnsi="Times New Roman" w:eastAsia="方正仿宋_GBK" w:cs="Times New Roman"/>
                <w:color w:val="auto"/>
                <w:sz w:val="18"/>
                <w:szCs w:val="18"/>
                <w:lang w:val="en-US" w:eastAsia="zh-CN"/>
              </w:rPr>
              <w:t>;</w:t>
            </w:r>
          </w:p>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2.一线岗位员工是否</w:t>
            </w:r>
            <w:r>
              <w:rPr>
                <w:rFonts w:hint="eastAsia" w:ascii="Times New Roman" w:hAnsi="Times New Roman" w:cs="Times New Roman"/>
                <w:color w:val="auto"/>
                <w:sz w:val="18"/>
                <w:szCs w:val="18"/>
                <w:lang w:eastAsia="zh-CN"/>
              </w:rPr>
              <w:t>掌</w:t>
            </w:r>
            <w:r>
              <w:rPr>
                <w:rFonts w:hint="default" w:ascii="Times New Roman" w:hAnsi="Times New Roman" w:eastAsia="方正仿宋_GBK" w:cs="Times New Roman"/>
                <w:color w:val="auto"/>
                <w:sz w:val="18"/>
                <w:szCs w:val="18"/>
              </w:rPr>
              <w:t>握“两单两卡”内容。</w:t>
            </w:r>
          </w:p>
          <w:p>
            <w:pPr>
              <w:snapToGrid w:val="0"/>
              <w:jc w:val="left"/>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查阅资料、现场和问询</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1.未建立健全“两单两卡”，每缺一个岗位扣5分；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2.现场抽查一线岗位员工，未</w:t>
            </w:r>
            <w:r>
              <w:rPr>
                <w:rFonts w:hint="eastAsia" w:ascii="Times New Roman" w:hAnsi="Times New Roman" w:cs="Times New Roman"/>
                <w:color w:val="auto"/>
                <w:sz w:val="18"/>
                <w:szCs w:val="18"/>
                <w:lang w:eastAsia="zh-CN"/>
              </w:rPr>
              <w:t>掌</w:t>
            </w:r>
            <w:r>
              <w:rPr>
                <w:rFonts w:hint="default" w:ascii="Times New Roman" w:hAnsi="Times New Roman" w:eastAsia="方正仿宋_GBK" w:cs="Times New Roman"/>
                <w:color w:val="auto"/>
                <w:sz w:val="18"/>
                <w:szCs w:val="18"/>
              </w:rPr>
              <w:t>握“两单两卡”，每一人次扣5分。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隐患排查治理</w:t>
            </w:r>
          </w:p>
        </w:tc>
        <w:tc>
          <w:tcPr>
            <w:tcW w:w="2305" w:type="dxa"/>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1.是否建立隐患排查治理制度；</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2.是否开展“日周月”隐患排查，排查结果是否与现场相符。</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3.重大事故隐患是否上报备案，是否编制治理方案。</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1.未建立隐患排查治理制度扣10分；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2.排查结果与现场不符，每一项扣10分；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3.隐患未闭环整改，每一项扣10分；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4.重大事故隐患治理未编制专项治理方案扣10分，未上报备案扣5分。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图纸</w:t>
            </w:r>
          </w:p>
        </w:tc>
        <w:tc>
          <w:tcPr>
            <w:tcW w:w="2305" w:type="dxa"/>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1.矿区地形地质图；</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2.水文地质图（含平面和剖面）；</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3.开拓系统图；</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4.中段平面图；</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5.通风系统图；</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6.井上、井下对照图；</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7.压风、供排水系统图；</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8.通信系统图；</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9.供配电系统图；</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10.井下避灾路线图；</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11.相邻采区或矿山与本矿山空间位置关系图。</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1.每缺一种图纸扣5分；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2.每种图纸应根据实际情况的变化，每3个月至少更新一次，未及时更新扣2分。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74" w:type="dxa"/>
            <w:gridSpan w:val="2"/>
            <w:vMerge w:val="continue"/>
            <w:vAlign w:val="center"/>
          </w:tcPr>
          <w:p>
            <w:pPr>
              <w:snapToGrid w:val="0"/>
              <w:jc w:val="center"/>
              <w:rPr>
                <w:rFonts w:hint="default" w:ascii="Times New Roman" w:hAnsi="Times New Roman" w:eastAsia="方正仿宋_GBK" w:cs="Times New Roman"/>
                <w:color w:val="auto"/>
                <w:sz w:val="18"/>
                <w:szCs w:val="18"/>
              </w:rPr>
            </w:pPr>
          </w:p>
        </w:tc>
        <w:tc>
          <w:tcPr>
            <w:tcW w:w="900" w:type="dxa"/>
            <w:gridSpan w:val="2"/>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应急</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救援</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1.应急救援预案备案是否有效；2.是否按要求进行应急演练。</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资料</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1.应急救援预案未备案、过期不得分；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2.未开展顶板、中毒和窒息应急演练的不得分。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185" w:type="dxa"/>
            <w:gridSpan w:val="5"/>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小计</w:t>
            </w:r>
          </w:p>
        </w:tc>
        <w:tc>
          <w:tcPr>
            <w:tcW w:w="2305" w:type="dxa"/>
            <w:vAlign w:val="center"/>
          </w:tcPr>
          <w:p>
            <w:pPr>
              <w:snapToGrid w:val="0"/>
              <w:jc w:val="center"/>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snapToGrid w:val="0"/>
              <w:jc w:val="center"/>
              <w:rPr>
                <w:rFonts w:hint="default" w:ascii="Times New Roman" w:hAnsi="Times New Roman" w:eastAsia="方正仿宋_GBK" w:cs="Times New Roman"/>
                <w:color w:val="auto"/>
                <w:sz w:val="18"/>
                <w:szCs w:val="18"/>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二</w:t>
            </w:r>
          </w:p>
        </w:tc>
        <w:tc>
          <w:tcPr>
            <w:tcW w:w="744" w:type="dxa"/>
            <w:vMerge w:val="restart"/>
            <w:vAlign w:val="center"/>
          </w:tcPr>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开拓开采（2</w:t>
            </w:r>
            <w:r>
              <w:rPr>
                <w:rFonts w:hint="default" w:ascii="Times New Roman" w:hAnsi="Times New Roman" w:eastAsia="方正仿宋_GBK" w:cs="Times New Roman"/>
                <w:color w:val="auto"/>
                <w:sz w:val="18"/>
                <w:szCs w:val="18"/>
                <w:lang w:val="en-US" w:eastAsia="zh-CN"/>
              </w:rPr>
              <w:t>1</w:t>
            </w:r>
            <w:r>
              <w:rPr>
                <w:rFonts w:hint="default" w:ascii="Times New Roman" w:hAnsi="Times New Roman" w:eastAsia="方正仿宋_GBK" w:cs="Times New Roman"/>
                <w:color w:val="auto"/>
                <w:sz w:val="18"/>
                <w:szCs w:val="18"/>
              </w:rPr>
              <w:t>0分）</w:t>
            </w:r>
          </w:p>
        </w:tc>
        <w:tc>
          <w:tcPr>
            <w:tcW w:w="930" w:type="dxa"/>
            <w:gridSpan w:val="3"/>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矿井</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开拓</w:t>
            </w:r>
          </w:p>
        </w:tc>
        <w:tc>
          <w:tcPr>
            <w:tcW w:w="2305" w:type="dxa"/>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开拓方式、井筒数量、断面及使用功能符合设计。</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查阅资料和现场</w:t>
            </w:r>
          </w:p>
        </w:tc>
        <w:tc>
          <w:tcPr>
            <w:tcW w:w="4350" w:type="dxa"/>
            <w:vAlign w:val="center"/>
          </w:tcPr>
          <w:p>
            <w:pPr>
              <w:tabs>
                <w:tab w:val="left" w:pos="312"/>
              </w:tabs>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开拓方式、井筒数量、断面或使用功能与设计不符不得分。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44"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30" w:type="dxa"/>
            <w:gridSpan w:val="3"/>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水平、采区、工作面</w:t>
            </w:r>
          </w:p>
        </w:tc>
        <w:tc>
          <w:tcPr>
            <w:tcW w:w="2305" w:type="dxa"/>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1.开采水平、采区布置是否符合设计规定。</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2.采掘接替顺序、工作面数量是否符合设计规定</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30</w:t>
            </w: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查阅资料和现场</w:t>
            </w:r>
          </w:p>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tabs>
                <w:tab w:val="left" w:pos="312"/>
              </w:tabs>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1.开采水平、采区布置与设计不符扣10分；</w:t>
            </w:r>
          </w:p>
          <w:p>
            <w:pPr>
              <w:tabs>
                <w:tab w:val="left" w:pos="312"/>
              </w:tabs>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2.水平、采区、工作面接替顺序与设计不符扣20分</w:t>
            </w:r>
          </w:p>
          <w:p>
            <w:pPr>
              <w:tabs>
                <w:tab w:val="left" w:pos="312"/>
              </w:tabs>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3.采掘工作面数量超过设计规定1个扣10分，超2个及以上扣30分。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44"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30" w:type="dxa"/>
            <w:gridSpan w:val="3"/>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采矿</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方法</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1.采矿方法是否符合设计规定；2.矿井是否布置正规回采工作面进行采矿，矿井不得以采代掘、以采代探。</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查阅资料和现场</w:t>
            </w:r>
          </w:p>
        </w:tc>
        <w:tc>
          <w:tcPr>
            <w:tcW w:w="4350" w:type="dxa"/>
            <w:vAlign w:val="center"/>
          </w:tcPr>
          <w:p>
            <w:pPr>
              <w:tabs>
                <w:tab w:val="left" w:pos="312"/>
              </w:tabs>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采矿方法与设计不符扣30分；2.矿井发现1处非正规回采工作面扣10分，发现2处及以上非正规回采工作面扣30分。3.采掘工程未制定作业措施，1项扣10分；作业措施无针对性和可操作性1项扣5分，作业措施未学习签字，1项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44"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30" w:type="dxa"/>
            <w:gridSpan w:val="3"/>
            <w:vAlign w:val="center"/>
          </w:tcPr>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顶板</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管理</w:t>
            </w:r>
          </w:p>
        </w:tc>
        <w:tc>
          <w:tcPr>
            <w:tcW w:w="2305" w:type="dxa"/>
            <w:vAlign w:val="center"/>
          </w:tcPr>
          <w:p>
            <w:pPr>
              <w:tabs>
                <w:tab w:val="left" w:pos="312"/>
              </w:tabs>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 xml:space="preserve">  </w:t>
            </w:r>
            <w:r>
              <w:rPr>
                <w:rFonts w:hint="default" w:ascii="Times New Roman" w:hAnsi="Times New Roman" w:eastAsia="方正仿宋_GBK" w:cs="Times New Roman"/>
                <w:color w:val="auto"/>
                <w:sz w:val="18"/>
                <w:szCs w:val="18"/>
              </w:rPr>
              <w:t>1.采掘工作面</w:t>
            </w:r>
            <w:r>
              <w:rPr>
                <w:rFonts w:hint="default" w:ascii="Times New Roman" w:hAnsi="Times New Roman" w:eastAsia="方正仿宋_GBK" w:cs="Times New Roman"/>
                <w:color w:val="auto"/>
                <w:sz w:val="18"/>
                <w:szCs w:val="18"/>
                <w:lang w:val="en-US" w:eastAsia="zh-CN"/>
              </w:rPr>
              <w:t>断面、</w:t>
            </w:r>
            <w:r>
              <w:rPr>
                <w:rFonts w:hint="default" w:ascii="Times New Roman" w:hAnsi="Times New Roman" w:eastAsia="方正仿宋_GBK" w:cs="Times New Roman"/>
                <w:color w:val="auto"/>
                <w:sz w:val="18"/>
                <w:szCs w:val="18"/>
              </w:rPr>
              <w:t>支护是否符合设计；2.采掘作业是否严格执行“敲帮问顶”；3.巷道交岔处、顶板破碎处是否加强支护；4.采矿工作面矿柱尺寸、形状、直立度、间排距和采高等是否符合设计；5.采矿工作面安全出口、作业退路是否符合设计规定；6.矿山井巷是否定期检查并保持安全畅通</w:t>
            </w:r>
            <w:r>
              <w:rPr>
                <w:rFonts w:hint="default"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7.顶板分级管理是否符合要求。</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w:t>
            </w:r>
            <w:r>
              <w:rPr>
                <w:rFonts w:hint="default" w:ascii="Times New Roman" w:hAnsi="Times New Roman" w:eastAsia="方正仿宋_GBK" w:cs="Times New Roman"/>
                <w:color w:val="auto"/>
                <w:sz w:val="18"/>
                <w:szCs w:val="18"/>
                <w:lang w:val="en-US" w:eastAsia="zh-CN"/>
              </w:rPr>
              <w:t>2</w:t>
            </w:r>
            <w:r>
              <w:rPr>
                <w:rFonts w:hint="default" w:ascii="Times New Roman" w:hAnsi="Times New Roman" w:eastAsia="方正仿宋_GBK" w:cs="Times New Roman"/>
                <w:color w:val="auto"/>
                <w:sz w:val="18"/>
                <w:szCs w:val="18"/>
              </w:rPr>
              <w:t>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查阅资料和现场</w:t>
            </w:r>
          </w:p>
        </w:tc>
        <w:tc>
          <w:tcPr>
            <w:tcW w:w="435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 xml:space="preserve">    </w:t>
            </w:r>
            <w:r>
              <w:rPr>
                <w:rFonts w:hint="default" w:ascii="Times New Roman" w:hAnsi="Times New Roman" w:eastAsia="方正仿宋_GBK" w:cs="Times New Roman"/>
                <w:color w:val="auto"/>
                <w:sz w:val="18"/>
                <w:szCs w:val="18"/>
              </w:rPr>
              <w:t>1.采掘工作面断面、支护1处与设计不符扣10分；2.采掘工作面1处未配备找顶工具扣5分；3.巷道交岔处、顶板破碎处未加强支护或支护失效，1处扣10分；4.采矿工作面矿柱尺寸、形状、直立度、间排距和采高等1处与设计不符扣20分；5.工作面安全出口与设计不符1处扣5分，作业点退路不畅通1处扣5分；6.矿山井巷未定期检查扣10分</w:t>
            </w:r>
            <w:r>
              <w:rPr>
                <w:rFonts w:hint="default"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7.未建立顶板分级管理制度，扣10分；顶板不稳固的采场，无处理措施，1处扣10分；作业面的顶板和侧面未保持稳定，1处扣10分；作业前未对因爆破或其他原因而破坏的支护及时修复，1处扣10分；作业前未处理顶板和两帮的浮石，1处扣10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744"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30" w:type="dxa"/>
            <w:gridSpan w:val="3"/>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爆破</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管理</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1.井下爆破站岗、撤人、警戒、母线铺设是否符合要求；2.井下爆破后是否检查盲炮、残爆、顶板和空气质量。</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现场和询问</w:t>
            </w:r>
          </w:p>
        </w:tc>
        <w:tc>
          <w:tcPr>
            <w:tcW w:w="4350" w:type="dxa"/>
            <w:vAlign w:val="center"/>
          </w:tcPr>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现场检查和询问相关人员，</w:t>
            </w:r>
            <w:r>
              <w:rPr>
                <w:rFonts w:hint="default" w:ascii="Times New Roman" w:hAnsi="Times New Roman" w:eastAsia="方正仿宋_GBK" w:cs="Times New Roman"/>
                <w:color w:val="auto"/>
                <w:sz w:val="18"/>
                <w:szCs w:val="18"/>
                <w:lang w:val="en-US" w:eastAsia="zh-CN"/>
              </w:rPr>
              <w:t>一项不符合要求</w:t>
            </w:r>
            <w:r>
              <w:rPr>
                <w:rFonts w:hint="default" w:ascii="Times New Roman" w:hAnsi="Times New Roman" w:eastAsia="方正仿宋_GBK" w:cs="Times New Roman"/>
                <w:color w:val="auto"/>
                <w:sz w:val="18"/>
                <w:szCs w:val="18"/>
              </w:rPr>
              <w:t>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5" w:type="dxa"/>
            <w:gridSpan w:val="5"/>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小计</w:t>
            </w:r>
          </w:p>
        </w:tc>
        <w:tc>
          <w:tcPr>
            <w:tcW w:w="2305" w:type="dxa"/>
            <w:vAlign w:val="center"/>
          </w:tcPr>
          <w:p>
            <w:pPr>
              <w:snapToGrid w:val="0"/>
              <w:jc w:val="center"/>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w:t>
            </w:r>
            <w:r>
              <w:rPr>
                <w:rFonts w:hint="default" w:ascii="Times New Roman" w:hAnsi="Times New Roman" w:eastAsia="方正仿宋_GBK" w:cs="Times New Roman"/>
                <w:color w:val="auto"/>
                <w:sz w:val="18"/>
                <w:szCs w:val="18"/>
                <w:lang w:val="en-US" w:eastAsia="zh-CN"/>
              </w:rPr>
              <w:t>1</w:t>
            </w:r>
            <w:r>
              <w:rPr>
                <w:rFonts w:hint="default" w:ascii="Times New Roman" w:hAnsi="Times New Roman" w:eastAsia="方正仿宋_GBK" w:cs="Times New Roman"/>
                <w:color w:val="auto"/>
                <w:sz w:val="18"/>
                <w:szCs w:val="18"/>
              </w:rPr>
              <w:t>0</w:t>
            </w:r>
          </w:p>
        </w:tc>
        <w:tc>
          <w:tcPr>
            <w:tcW w:w="1004" w:type="dxa"/>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widowControl/>
              <w:snapToGrid w:val="0"/>
              <w:jc w:val="left"/>
              <w:rPr>
                <w:rFonts w:hint="default" w:ascii="Times New Roman" w:hAnsi="Times New Roman" w:eastAsia="方正仿宋_GBK" w:cs="Times New Roman"/>
                <w:color w:val="auto"/>
                <w:sz w:val="18"/>
                <w:szCs w:val="18"/>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三</w:t>
            </w:r>
          </w:p>
        </w:tc>
        <w:tc>
          <w:tcPr>
            <w:tcW w:w="915" w:type="dxa"/>
            <w:gridSpan w:val="3"/>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通风系统（1</w:t>
            </w:r>
            <w:r>
              <w:rPr>
                <w:rFonts w:hint="default" w:ascii="Times New Roman" w:hAnsi="Times New Roman" w:eastAsia="方正仿宋_GBK" w:cs="Times New Roman"/>
                <w:color w:val="auto"/>
                <w:sz w:val="18"/>
                <w:szCs w:val="18"/>
                <w:lang w:val="en-US" w:eastAsia="zh-CN"/>
              </w:rPr>
              <w:t>4</w:t>
            </w:r>
            <w:r>
              <w:rPr>
                <w:rFonts w:hint="default" w:ascii="Times New Roman" w:hAnsi="Times New Roman" w:eastAsia="方正仿宋_GBK" w:cs="Times New Roman"/>
                <w:color w:val="auto"/>
                <w:sz w:val="18"/>
                <w:szCs w:val="18"/>
              </w:rPr>
              <w:t>0分）</w:t>
            </w: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风量</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风质</w:t>
            </w:r>
          </w:p>
        </w:tc>
        <w:tc>
          <w:tcPr>
            <w:tcW w:w="2305" w:type="dxa"/>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1.矿井总风量及各用风地点风量是否符合设计规定；</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2.井下作业场所及其他用风地点风速、风质是否符合设计规定。</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查阅资料和现场</w:t>
            </w:r>
          </w:p>
        </w:tc>
        <w:tc>
          <w:tcPr>
            <w:tcW w:w="4350" w:type="dxa"/>
            <w:vAlign w:val="center"/>
          </w:tcPr>
          <w:p>
            <w:pPr>
              <w:tabs>
                <w:tab w:val="left" w:pos="312"/>
              </w:tabs>
              <w:snapToGrid w:val="0"/>
              <w:ind w:firstLine="180" w:firstLineChars="100"/>
              <w:rPr>
                <w:rFonts w:hint="default" w:ascii="Times New Roman" w:hAnsi="Times New Roman" w:eastAsia="方正仿宋_GBK" w:cs="Times New Roman"/>
                <w:color w:val="auto"/>
                <w:sz w:val="18"/>
                <w:szCs w:val="18"/>
              </w:rPr>
            </w:pPr>
          </w:p>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1.矿井总风量与设计不符扣10分，用风地点风量与设计不符1处扣5分；</w:t>
            </w:r>
          </w:p>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2.井下作业场所及用风地点风速、风质与设计不符，1处扣5分；</w:t>
            </w:r>
          </w:p>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3.测风站、挂牌设置管理与规定不符，1处扣5分。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主通 风机</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主通风机</w:t>
            </w:r>
            <w:r>
              <w:rPr>
                <w:rFonts w:hint="default" w:ascii="Times New Roman" w:hAnsi="Times New Roman" w:eastAsia="方正仿宋_GBK" w:cs="Times New Roman"/>
                <w:color w:val="auto"/>
                <w:sz w:val="18"/>
                <w:szCs w:val="18"/>
                <w:lang w:val="en-US" w:eastAsia="zh-CN"/>
              </w:rPr>
              <w:t>是否满足设计要求，</w:t>
            </w:r>
            <w:r>
              <w:rPr>
                <w:rFonts w:hint="default" w:ascii="Times New Roman" w:hAnsi="Times New Roman" w:eastAsia="方正仿宋_GBK" w:cs="Times New Roman"/>
                <w:color w:val="auto"/>
                <w:sz w:val="18"/>
                <w:szCs w:val="18"/>
              </w:rPr>
              <w:t>是否有备用电机。</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w:t>
            </w:r>
          </w:p>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检查</w:t>
            </w:r>
          </w:p>
        </w:tc>
        <w:tc>
          <w:tcPr>
            <w:tcW w:w="4350" w:type="dxa"/>
            <w:vAlign w:val="center"/>
          </w:tcPr>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主通风机</w:t>
            </w:r>
            <w:r>
              <w:rPr>
                <w:rFonts w:hint="default" w:ascii="Times New Roman" w:hAnsi="Times New Roman" w:eastAsia="方正仿宋_GBK" w:cs="Times New Roman"/>
                <w:color w:val="auto"/>
                <w:sz w:val="18"/>
                <w:szCs w:val="18"/>
                <w:lang w:val="en-US" w:eastAsia="zh-CN"/>
              </w:rPr>
              <w:t>不满足设计要求扣30分，无</w:t>
            </w:r>
            <w:r>
              <w:rPr>
                <w:rFonts w:hint="default" w:ascii="Times New Roman" w:hAnsi="Times New Roman" w:eastAsia="方正仿宋_GBK" w:cs="Times New Roman"/>
                <w:color w:val="auto"/>
                <w:sz w:val="18"/>
                <w:szCs w:val="18"/>
              </w:rPr>
              <w:t>同型号规格</w:t>
            </w:r>
            <w:r>
              <w:rPr>
                <w:rFonts w:hint="default" w:ascii="Times New Roman" w:hAnsi="Times New Roman" w:eastAsia="方正仿宋_GBK" w:cs="Times New Roman"/>
                <w:color w:val="auto"/>
                <w:sz w:val="18"/>
                <w:szCs w:val="18"/>
                <w:lang w:val="en-US" w:eastAsia="zh-CN"/>
              </w:rPr>
              <w:t>备用</w:t>
            </w:r>
            <w:r>
              <w:rPr>
                <w:rFonts w:hint="default" w:ascii="Times New Roman" w:hAnsi="Times New Roman" w:eastAsia="方正仿宋_GBK" w:cs="Times New Roman"/>
                <w:color w:val="auto"/>
                <w:sz w:val="18"/>
                <w:szCs w:val="18"/>
              </w:rPr>
              <w:t>电机扣</w:t>
            </w:r>
            <w:r>
              <w:rPr>
                <w:rFonts w:hint="default" w:ascii="Times New Roman" w:hAnsi="Times New Roman" w:eastAsia="方正仿宋_GBK" w:cs="Times New Roman"/>
                <w:color w:val="auto"/>
                <w:sz w:val="18"/>
                <w:szCs w:val="18"/>
                <w:lang w:val="en-US" w:eastAsia="zh-CN"/>
              </w:rPr>
              <w:t>2</w:t>
            </w:r>
            <w:r>
              <w:rPr>
                <w:rFonts w:hint="default" w:ascii="Times New Roman" w:hAnsi="Times New Roman" w:eastAsia="方正仿宋_GBK" w:cs="Times New Roman"/>
                <w:color w:val="auto"/>
                <w:sz w:val="18"/>
                <w:szCs w:val="18"/>
              </w:rPr>
              <w:t>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局部</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通风</w:t>
            </w:r>
          </w:p>
        </w:tc>
        <w:tc>
          <w:tcPr>
            <w:tcW w:w="2305" w:type="dxa"/>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1.掘进工作面和通风不良（超过7m的巷道）的工作场所，是否设局部通风机；</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2.局部通风管理是否符合规定；</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3.局部通风是否采用阻燃风筒。</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5</w:t>
            </w:r>
            <w:r>
              <w:rPr>
                <w:rFonts w:hint="default" w:ascii="Times New Roman" w:hAnsi="Times New Roman" w:eastAsia="方正仿宋_GBK" w:cs="Times New Roman"/>
                <w:color w:val="auto"/>
                <w:sz w:val="18"/>
                <w:szCs w:val="18"/>
              </w:rPr>
              <w:t>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1.掘进工作面和通风不良（超过7m的巷道）的工作场所，未设置局部通风机，1处扣10分；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2.局部通风机安装位置与规定不符，1处扣10分；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3.风筒吊挂、大小、接头、破口、与碛头距离、硬质风筒等与规定不符，1处扣5分；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4.局部通风未采用阻燃风筒，1处扣20分。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通风</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设施</w:t>
            </w:r>
          </w:p>
        </w:tc>
        <w:tc>
          <w:tcPr>
            <w:tcW w:w="2305" w:type="dxa"/>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通风构筑物是否符合设计并保持完好。</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w:t>
            </w:r>
          </w:p>
          <w:p>
            <w:pPr>
              <w:pStyle w:val="11"/>
              <w:jc w:val="center"/>
              <w:rPr>
                <w:rFonts w:hint="default" w:ascii="Times New Roman" w:hAnsi="Times New Roman" w:cs="Times New Roman"/>
                <w:sz w:val="18"/>
                <w:szCs w:val="18"/>
              </w:rPr>
            </w:pPr>
            <w:r>
              <w:rPr>
                <w:rFonts w:hint="default" w:ascii="Times New Roman" w:hAnsi="Times New Roman" w:eastAsia="方正仿宋_GBK" w:cs="Times New Roman"/>
                <w:color w:val="auto"/>
                <w:sz w:val="18"/>
                <w:szCs w:val="18"/>
                <w:lang w:val="en-US" w:eastAsia="zh-CN"/>
              </w:rPr>
              <w:t>检查</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1.通风构筑物与设计不符，1处扣10分；</w:t>
            </w:r>
          </w:p>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2.通风构筑物未保持完好，1处扣5分。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井下</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密闭</w:t>
            </w:r>
          </w:p>
        </w:tc>
        <w:tc>
          <w:tcPr>
            <w:tcW w:w="2305" w:type="dxa"/>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1.采场回采结束后，废弃井巷是否封闭；</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2.停止作业且无贯穿风流的采场、独头巷道，是否设置栅栏和警示标志。</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w:t>
            </w:r>
          </w:p>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检查</w:t>
            </w:r>
          </w:p>
        </w:tc>
        <w:tc>
          <w:tcPr>
            <w:tcW w:w="4350" w:type="dxa"/>
            <w:vAlign w:val="center"/>
          </w:tcPr>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1.采场回采结束后，废弃井巷未按规定封闭，1处扣10分；</w:t>
            </w:r>
          </w:p>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2.停止作业且无贯穿风流的采场、独头巷道（长度超过</w:t>
            </w:r>
            <w:r>
              <w:rPr>
                <w:rFonts w:hint="default" w:ascii="Times New Roman" w:hAnsi="Times New Roman" w:eastAsia="方正仿宋_GBK" w:cs="Times New Roman"/>
                <w:color w:val="auto"/>
                <w:sz w:val="18"/>
                <w:szCs w:val="18"/>
                <w:lang w:val="en-US" w:eastAsia="zh-CN"/>
              </w:rPr>
              <w:t>7</w:t>
            </w:r>
            <w:r>
              <w:rPr>
                <w:rFonts w:hint="default" w:ascii="Times New Roman" w:hAnsi="Times New Roman" w:eastAsia="方正仿宋_GBK" w:cs="Times New Roman"/>
                <w:color w:val="auto"/>
                <w:sz w:val="18"/>
                <w:szCs w:val="18"/>
              </w:rPr>
              <w:t>m），未设栅栏和警示标志，1处扣10分；</w:t>
            </w:r>
          </w:p>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3.密闭未编号、未标注在采掘工程图和通风系统图上，1处扣5分。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85" w:type="dxa"/>
            <w:gridSpan w:val="5"/>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小计</w:t>
            </w:r>
          </w:p>
        </w:tc>
        <w:tc>
          <w:tcPr>
            <w:tcW w:w="2305" w:type="dxa"/>
            <w:vAlign w:val="center"/>
          </w:tcPr>
          <w:p>
            <w:pPr>
              <w:snapToGrid w:val="0"/>
              <w:jc w:val="center"/>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w:t>
            </w:r>
            <w:r>
              <w:rPr>
                <w:rFonts w:hint="default" w:ascii="Times New Roman" w:hAnsi="Times New Roman" w:eastAsia="方正仿宋_GBK" w:cs="Times New Roman"/>
                <w:color w:val="auto"/>
                <w:sz w:val="18"/>
                <w:szCs w:val="18"/>
                <w:lang w:val="en-US" w:eastAsia="zh-CN"/>
              </w:rPr>
              <w:t>4</w:t>
            </w:r>
            <w:r>
              <w:rPr>
                <w:rFonts w:hint="default" w:ascii="Times New Roman" w:hAnsi="Times New Roman" w:eastAsia="方正仿宋_GBK" w:cs="Times New Roman"/>
                <w:color w:val="auto"/>
                <w:sz w:val="18"/>
                <w:szCs w:val="18"/>
              </w:rPr>
              <w:t>0</w:t>
            </w:r>
          </w:p>
        </w:tc>
        <w:tc>
          <w:tcPr>
            <w:tcW w:w="1004" w:type="dxa"/>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widowControl/>
              <w:snapToGrid w:val="0"/>
              <w:jc w:val="left"/>
              <w:rPr>
                <w:rFonts w:hint="default" w:ascii="Times New Roman" w:hAnsi="Times New Roman" w:eastAsia="方正仿宋_GBK" w:cs="Times New Roman"/>
                <w:color w:val="auto"/>
                <w:sz w:val="18"/>
                <w:szCs w:val="18"/>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Merge w:val="restart"/>
            <w:vAlign w:val="center"/>
          </w:tcPr>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四</w:t>
            </w:r>
          </w:p>
        </w:tc>
        <w:tc>
          <w:tcPr>
            <w:tcW w:w="915" w:type="dxa"/>
            <w:gridSpan w:val="3"/>
            <w:vMerge w:val="restart"/>
            <w:vAlign w:val="center"/>
          </w:tcPr>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运输系统（110分）</w:t>
            </w: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运输</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设备</w:t>
            </w:r>
          </w:p>
        </w:tc>
        <w:tc>
          <w:tcPr>
            <w:tcW w:w="2305" w:type="dxa"/>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运输设备是否有矿用安全标志，并完好。</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1.发现一台设备无安标扣5分；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2.发现无轨胶轮车、机车驾驶室无硬质顶棚一台扣10分；闸、灯、警铃不完好的，一处扣5分；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3.发现矿车两端的碰头伸出长度小于100mm，一处扣5分。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水平 运输</w:t>
            </w:r>
          </w:p>
        </w:tc>
        <w:tc>
          <w:tcPr>
            <w:tcW w:w="2305" w:type="dxa"/>
            <w:vAlign w:val="center"/>
          </w:tcPr>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行人的水平运输巷道人行道参数是否符合设计。</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30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1.行人的有轨运输巷道未设置人行道（高度不小于1.9m、宽度不小于0.8m；），调车场、井底车场矿车摘挂钩处两侧应各设一条人行道（有效净高不小于1.9m，宽度不小于1.0m。）的或参数不符合要求的，一处扣10分；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2.运输巷轨道轨距、轨型小于设计的，扣10分；道岔与轨型不一致的，一处扣5分；接头扣件不全或与轨型不符的，一处扣1分；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行人的无轨运输巷道未设置人行道（高度不小于1.9m，宽度不小于1.2m）或参数不符的，一处扣10分；未设置躲避硐室（高度不小于1.9m，深度和宽度均不小于1.0m）或间距（曲线段不超过15m，直线段不超过50m）参数不符要求的，一处扣5分；</w:t>
            </w:r>
          </w:p>
          <w:p>
            <w:pPr>
              <w:snapToGrid w:val="0"/>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sz w:val="18"/>
                <w:szCs w:val="18"/>
              </w:rPr>
              <w:t>4.有轨运输设备之间、运输设备与巷道壁或者巷道内设施之间的间隙小于0.3m的，一处扣5分；无轨运输设备之间、运输设备与巷道壁或者巷道内设施之间的间隙、硬质顶棚与巷道顶板小于0.6m的，一处扣5分</w:t>
            </w:r>
            <w:r>
              <w:rPr>
                <w:rFonts w:hint="default" w:ascii="Times New Roman" w:hAnsi="Times New Roman" w:eastAsia="方正仿宋_GBK" w:cs="Times New Roman"/>
                <w:color w:val="auto"/>
                <w:sz w:val="18"/>
                <w:szCs w:val="18"/>
                <w:lang w:eastAsia="zh-CN"/>
              </w:rPr>
              <w:t>。</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斜井</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提升</w:t>
            </w:r>
          </w:p>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1.行人的斜井人行道、躲避硐室设置是否符合设计要求。</w:t>
            </w:r>
          </w:p>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2.是否设有“一坡三挡”。</w:t>
            </w:r>
          </w:p>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3.提升机保护是否满足规程要求。</w:t>
            </w:r>
          </w:p>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4.是否执行“行人不行车，行车不行人”。</w:t>
            </w:r>
          </w:p>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5.提升钢绳及连接装置是否完好。</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40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1.行人的轨道斜井未设置人行道（有效净高不小于1.9m，有效宽度不小于1.0m）的或参数不符合要求的，一处扣10分；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2.斜井及各中段车场未设躲避硐室（高度不小于1.9m，深度和宽度不小于1.0m）或躲避硐室的数量、参数不符合要求的，一处扣5分；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3.斜井提升未设“一坡三挡”或不能正常使用扣20分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4.提升装置的机电控制系统无双PLC控制系统、短路保护、断电保护、过负荷保护、过速保护、过卷保护、闸瓦磨损保护、润滑系统油压保护、制动油温过高的保护或不起作用的，一处扣2分；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5.提升作业时，斜井有行人的，扣20分；中段车场有人员未进入躲避硐室的，一处扣10分；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6.各中段车场入口无“行人不行车，行车不行人”警示标志牌的，一处扣5分；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7.现场无提升钢绳及连接装置、提升机保护装置、安全设施、钢丝绳更换检查记录的，一项扣5分，检查不到位、漏填记录或记录不规范的，一处扣2分；</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8.钢丝绳一个捻距内的断丝或磨损直径减小达10%，没有及时更换的，扣20分。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斜坡道无轨运输</w:t>
            </w:r>
          </w:p>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斜坡道坡度、人行道或躲避硐室是否满足设计要求。</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rPr>
              <w:t>1.行人的无轨运输斜坡道未设置人行道（有效净高应不小于1.9m，有效宽度不小于1.2m）或参数不符合要求的，扣10分；2.行人的无轨运输斜坡道未设躲避硐室（高度不小于1.9m，深度和宽度不小于1.0m）或躲避硐室间距（曲线段不超过 15m，直线段不超过 50m）参数不符合要求的，一处扣5分；3.斜坡道长度每隔300～400m，未设错车缓坡段（坡度不大于3％、长度不小于20m）的或参数不符合要求的，扣10分</w:t>
            </w:r>
            <w:r>
              <w:rPr>
                <w:rFonts w:hint="default" w:ascii="Times New Roman" w:hAnsi="Times New Roman" w:eastAsia="方正仿宋_GBK" w:cs="Times New Roman"/>
                <w:color w:val="auto"/>
                <w:sz w:val="18"/>
                <w:szCs w:val="18"/>
                <w:lang w:eastAsia="zh-CN"/>
              </w:rPr>
              <w:t>。</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5" w:type="dxa"/>
            <w:gridSpan w:val="5"/>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小计</w:t>
            </w:r>
          </w:p>
        </w:tc>
        <w:tc>
          <w:tcPr>
            <w:tcW w:w="2305" w:type="dxa"/>
            <w:vAlign w:val="center"/>
          </w:tcPr>
          <w:p>
            <w:pPr>
              <w:snapToGrid w:val="0"/>
              <w:jc w:val="center"/>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110</w:t>
            </w:r>
          </w:p>
        </w:tc>
        <w:tc>
          <w:tcPr>
            <w:tcW w:w="1004" w:type="dxa"/>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widowControl/>
              <w:snapToGrid w:val="0"/>
              <w:jc w:val="left"/>
              <w:rPr>
                <w:rFonts w:hint="default" w:ascii="Times New Roman" w:hAnsi="Times New Roman" w:eastAsia="方正仿宋_GBK" w:cs="Times New Roman"/>
                <w:color w:val="auto"/>
                <w:sz w:val="18"/>
                <w:szCs w:val="18"/>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五</w:t>
            </w:r>
          </w:p>
        </w:tc>
        <w:tc>
          <w:tcPr>
            <w:tcW w:w="915" w:type="dxa"/>
            <w:gridSpan w:val="3"/>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供、配电系统（</w:t>
            </w:r>
            <w:r>
              <w:rPr>
                <w:rFonts w:hint="default" w:ascii="Times New Roman" w:hAnsi="Times New Roman" w:eastAsia="方正仿宋_GBK" w:cs="Times New Roman"/>
                <w:color w:val="auto"/>
                <w:sz w:val="18"/>
                <w:szCs w:val="18"/>
                <w:lang w:val="en-US" w:eastAsia="zh-CN"/>
              </w:rPr>
              <w:t>8</w:t>
            </w:r>
            <w:r>
              <w:rPr>
                <w:rFonts w:hint="default" w:ascii="Times New Roman" w:hAnsi="Times New Roman" w:eastAsia="方正仿宋_GBK" w:cs="Times New Roman"/>
                <w:color w:val="auto"/>
                <w:sz w:val="18"/>
                <w:szCs w:val="18"/>
              </w:rPr>
              <w:t>0分）</w:t>
            </w: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供电</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设备</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供电设备是否有矿用产品安全标志，并完好。</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val="en-US" w:eastAsia="zh-CN" w:bidi="ar"/>
              </w:rPr>
              <w:t>2</w:t>
            </w:r>
            <w:r>
              <w:rPr>
                <w:rFonts w:hint="default" w:ascii="Times New Roman" w:hAnsi="Times New Roman" w:eastAsia="方正仿宋_GBK" w:cs="Times New Roman"/>
                <w:color w:val="auto"/>
                <w:kern w:val="0"/>
                <w:sz w:val="18"/>
                <w:szCs w:val="18"/>
                <w:lang w:bidi="ar"/>
              </w:rPr>
              <w:t>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1.井下供电设备无矿用安全标志的，一台（件）扣</w:t>
            </w:r>
            <w:r>
              <w:rPr>
                <w:rFonts w:hint="default" w:ascii="Times New Roman" w:hAnsi="Times New Roman" w:eastAsia="方正仿宋_GBK" w:cs="Times New Roman"/>
                <w:color w:val="auto"/>
                <w:kern w:val="0"/>
                <w:sz w:val="18"/>
                <w:szCs w:val="18"/>
                <w:lang w:val="en-US" w:eastAsia="zh-CN" w:bidi="ar"/>
              </w:rPr>
              <w:t>5</w:t>
            </w:r>
            <w:r>
              <w:rPr>
                <w:rFonts w:hint="default" w:ascii="Times New Roman" w:hAnsi="Times New Roman" w:eastAsia="方正仿宋_GBK" w:cs="Times New Roman"/>
                <w:color w:val="auto"/>
                <w:kern w:val="0"/>
                <w:sz w:val="18"/>
                <w:szCs w:val="18"/>
                <w:lang w:bidi="ar"/>
              </w:rPr>
              <w:t>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2.供电设备未使用保护装置，显示仪表、指示灯不正常，安全防护装置缺失等，一处扣5分。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供电</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设施</w:t>
            </w:r>
          </w:p>
        </w:tc>
        <w:tc>
          <w:tcPr>
            <w:tcW w:w="2305" w:type="dxa"/>
            <w:vAlign w:val="center"/>
          </w:tcPr>
          <w:p>
            <w:pPr>
              <w:widowControl/>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低压配电系统中性点采用IT系统、TN-S系统的，保护装置是否符合要求。</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val="en-US" w:eastAsia="zh-CN" w:bidi="ar"/>
              </w:rPr>
              <w:t>2</w:t>
            </w:r>
            <w:r>
              <w:rPr>
                <w:rFonts w:hint="default" w:ascii="Times New Roman" w:hAnsi="Times New Roman" w:eastAsia="方正仿宋_GBK" w:cs="Times New Roman"/>
                <w:color w:val="auto"/>
                <w:kern w:val="0"/>
                <w:sz w:val="18"/>
                <w:szCs w:val="18"/>
                <w:lang w:bidi="ar"/>
              </w:rPr>
              <w:t>0</w:t>
            </w:r>
          </w:p>
        </w:tc>
        <w:tc>
          <w:tcPr>
            <w:tcW w:w="1004" w:type="dxa"/>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widowControl/>
              <w:snapToGrid w:val="0"/>
              <w:ind w:firstLine="180" w:firstLineChars="100"/>
              <w:jc w:val="left"/>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1.采用IT系统供电，无绝缘监测装置和漏电保护装置的，扣</w:t>
            </w:r>
            <w:r>
              <w:rPr>
                <w:rFonts w:hint="default" w:ascii="Times New Roman" w:hAnsi="Times New Roman" w:eastAsia="方正仿宋_GBK" w:cs="Times New Roman"/>
                <w:color w:val="auto"/>
                <w:kern w:val="0"/>
                <w:sz w:val="18"/>
                <w:szCs w:val="18"/>
                <w:lang w:val="en-US" w:eastAsia="zh-CN" w:bidi="ar"/>
              </w:rPr>
              <w:t>1</w:t>
            </w:r>
            <w:r>
              <w:rPr>
                <w:rFonts w:hint="default" w:ascii="Times New Roman" w:hAnsi="Times New Roman" w:eastAsia="方正仿宋_GBK" w:cs="Times New Roman"/>
                <w:color w:val="auto"/>
                <w:kern w:val="0"/>
                <w:sz w:val="18"/>
                <w:szCs w:val="18"/>
                <w:lang w:bidi="ar"/>
              </w:rPr>
              <w:t>0分；</w:t>
            </w:r>
          </w:p>
          <w:p>
            <w:pPr>
              <w:widowControl/>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2.采用TN-S系统供电，无剩余电流装置（RCD）、剩余电流监视装置（RCM）的，或整个系统的中性导体和保护导体未严格分开的，扣</w:t>
            </w:r>
            <w:r>
              <w:rPr>
                <w:rFonts w:hint="default" w:ascii="Times New Roman" w:hAnsi="Times New Roman" w:eastAsia="方正仿宋_GBK" w:cs="Times New Roman"/>
                <w:color w:val="auto"/>
                <w:kern w:val="0"/>
                <w:sz w:val="18"/>
                <w:szCs w:val="18"/>
                <w:lang w:val="en-US" w:eastAsia="zh-CN" w:bidi="ar"/>
              </w:rPr>
              <w:t>1</w:t>
            </w:r>
            <w:r>
              <w:rPr>
                <w:rFonts w:hint="default" w:ascii="Times New Roman" w:hAnsi="Times New Roman" w:eastAsia="方正仿宋_GBK" w:cs="Times New Roman"/>
                <w:color w:val="auto"/>
                <w:kern w:val="0"/>
                <w:sz w:val="18"/>
                <w:szCs w:val="18"/>
                <w:lang w:bidi="ar"/>
              </w:rPr>
              <w:t>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供电</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线路</w:t>
            </w:r>
          </w:p>
        </w:tc>
        <w:tc>
          <w:tcPr>
            <w:tcW w:w="2305" w:type="dxa"/>
            <w:vAlign w:val="center"/>
          </w:tcPr>
          <w:p>
            <w:pPr>
              <w:widowControl/>
              <w:snapToGrid w:val="0"/>
              <w:ind w:firstLine="180" w:firstLineChars="100"/>
              <w:jc w:val="left"/>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1.矿山电缆是否使用阻燃电缆；</w:t>
            </w:r>
          </w:p>
          <w:p>
            <w:pPr>
              <w:widowControl/>
              <w:snapToGrid w:val="0"/>
              <w:ind w:firstLine="180" w:firstLineChars="100"/>
              <w:jc w:val="left"/>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2.电缆是否悬挂，接头有无“羊尾巴”、“鸡爪子”、“明接头”现象。</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1.发现井下使用非阻燃电缆，一处扣5分；</w:t>
            </w:r>
          </w:p>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2.现场电缆悬挂不合格，一处扣2分；接头有“羊尾巴”、“鸡爪子”、“明接头”等现象的，一处扣</w:t>
            </w:r>
            <w:r>
              <w:rPr>
                <w:rFonts w:hint="default" w:ascii="Times New Roman" w:hAnsi="Times New Roman" w:eastAsia="方正仿宋_GBK" w:cs="Times New Roman"/>
                <w:color w:val="auto"/>
                <w:kern w:val="0"/>
                <w:sz w:val="18"/>
                <w:szCs w:val="18"/>
                <w:lang w:val="en-US" w:eastAsia="zh-CN" w:bidi="ar"/>
              </w:rPr>
              <w:t>5</w:t>
            </w:r>
            <w:r>
              <w:rPr>
                <w:rFonts w:hint="default" w:ascii="Times New Roman" w:hAnsi="Times New Roman" w:eastAsia="方正仿宋_GBK" w:cs="Times New Roman"/>
                <w:color w:val="auto"/>
                <w:kern w:val="0"/>
                <w:sz w:val="18"/>
                <w:szCs w:val="18"/>
                <w:lang w:bidi="ar"/>
              </w:rPr>
              <w:t>分；</w:t>
            </w:r>
          </w:p>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3.未执行停送电工作票和操作票，扣10分；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4.电工单人作业的，扣10分。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保护</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接地</w:t>
            </w:r>
          </w:p>
        </w:tc>
        <w:tc>
          <w:tcPr>
            <w:tcW w:w="2305" w:type="dxa"/>
            <w:vAlign w:val="center"/>
          </w:tcPr>
          <w:p>
            <w:pPr>
              <w:widowControl/>
              <w:snapToGrid w:val="0"/>
              <w:ind w:firstLine="180" w:firstLineChars="100"/>
              <w:jc w:val="left"/>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井下所有电气设备的金属外壳及电缆的配件、金属外皮等，是否接地。</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val="en-US" w:eastAsia="zh-CN" w:bidi="ar"/>
              </w:rPr>
              <w:t>2</w:t>
            </w:r>
            <w:r>
              <w:rPr>
                <w:rFonts w:hint="default" w:ascii="Times New Roman" w:hAnsi="Times New Roman" w:eastAsia="方正仿宋_GBK" w:cs="Times New Roman"/>
                <w:color w:val="auto"/>
                <w:kern w:val="0"/>
                <w:sz w:val="18"/>
                <w:szCs w:val="18"/>
                <w:lang w:bidi="ar"/>
              </w:rPr>
              <w:t>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1.矿井电气设备保护接地系统未形成接地网，扣10分；总接地网上任一接地点测得的接地电阻值大于1Ω的，扣5分；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2.电气设备未接地的，一处扣2分。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5" w:type="dxa"/>
            <w:gridSpan w:val="5"/>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小计</w:t>
            </w:r>
          </w:p>
        </w:tc>
        <w:tc>
          <w:tcPr>
            <w:tcW w:w="2305" w:type="dxa"/>
            <w:vAlign w:val="center"/>
          </w:tcPr>
          <w:p>
            <w:pPr>
              <w:widowControl/>
              <w:snapToGrid w:val="0"/>
              <w:jc w:val="left"/>
              <w:rPr>
                <w:rFonts w:hint="default" w:ascii="Times New Roman" w:hAnsi="Times New Roman" w:eastAsia="方正仿宋_GBK" w:cs="Times New Roman"/>
                <w:color w:val="auto"/>
                <w:kern w:val="0"/>
                <w:sz w:val="18"/>
                <w:szCs w:val="18"/>
                <w:lang w:bidi="ar"/>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8</w:t>
            </w:r>
            <w:r>
              <w:rPr>
                <w:rFonts w:hint="default" w:ascii="Times New Roman" w:hAnsi="Times New Roman" w:eastAsia="方正仿宋_GBK" w:cs="Times New Roman"/>
                <w:color w:val="auto"/>
                <w:sz w:val="18"/>
                <w:szCs w:val="18"/>
              </w:rPr>
              <w:t>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p>
        </w:tc>
        <w:tc>
          <w:tcPr>
            <w:tcW w:w="4350" w:type="dxa"/>
            <w:vAlign w:val="center"/>
          </w:tcPr>
          <w:p>
            <w:pPr>
              <w:snapToGrid w:val="0"/>
              <w:jc w:val="left"/>
              <w:rPr>
                <w:rFonts w:hint="default" w:ascii="Times New Roman" w:hAnsi="Times New Roman" w:eastAsia="方正仿宋_GBK" w:cs="Times New Roman"/>
                <w:color w:val="auto"/>
                <w:kern w:val="0"/>
                <w:sz w:val="18"/>
                <w:szCs w:val="18"/>
                <w:lang w:bidi="ar"/>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Merge w:val="restart"/>
            <w:vAlign w:val="center"/>
          </w:tcPr>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六</w:t>
            </w:r>
          </w:p>
        </w:tc>
        <w:tc>
          <w:tcPr>
            <w:tcW w:w="915" w:type="dxa"/>
            <w:gridSpan w:val="3"/>
            <w:vMerge w:val="restart"/>
            <w:vAlign w:val="center"/>
          </w:tcPr>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防排水</w:t>
            </w:r>
          </w:p>
          <w:p>
            <w:pPr>
              <w:snapToGrid w:val="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（120分）</w:t>
            </w:r>
          </w:p>
        </w:tc>
        <w:tc>
          <w:tcPr>
            <w:tcW w:w="759" w:type="dxa"/>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防治水</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水文地质类型为中等及复杂的矿井，是否设立专门防治水机构、配备探放水作业队伍或配齐专用探放水设备。</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查阅资料和现场</w:t>
            </w:r>
          </w:p>
        </w:tc>
        <w:tc>
          <w:tcPr>
            <w:tcW w:w="4350"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1.未设立专门防治水机构，不得分；</w:t>
            </w:r>
          </w:p>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2.未配备探放水作业队伍，不得分；</w:t>
            </w:r>
          </w:p>
          <w:p>
            <w:pPr>
              <w:snapToGrid w:val="0"/>
              <w:ind w:firstLine="180" w:firstLineChars="100"/>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rPr>
              <w:t>3.未配齐专用探放水设备，不得分</w:t>
            </w:r>
            <w:r>
              <w:rPr>
                <w:rFonts w:hint="default" w:ascii="Times New Roman" w:hAnsi="Times New Roman" w:eastAsia="方正仿宋_GBK" w:cs="Times New Roman"/>
                <w:color w:val="auto"/>
                <w:sz w:val="18"/>
                <w:szCs w:val="18"/>
                <w:lang w:eastAsia="zh-CN"/>
              </w:rPr>
              <w:t>。</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矿井各井口和工业广场是否按设计要求修筑防洪堤或排水沟。</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1.矿井各井口和工业场未按设计要求修筑防洪堤或排水沟，不得分。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2.防洪堤或排水沟堵塞未及时清理，造成排水不畅，扣5分。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井下防隔水矿（岩）柱是否符合设计要求。</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防隔水矿（岩）柱不符合设计要求，不得分。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采掘过程中是否按要求进行探放水。</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水文地质条件复杂或采掘工作面遇《金属非金属地下矿山防治水安全技术规范》第8.1条描述情况时，未进行下述探放水作业不得分；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1.未编制防治水技术方案；</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2.未在施工前制定专项安全技术措施；</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3.超前探水钻孔数量少于设计，或者钻孔深度小于设计。</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2305" w:type="dxa"/>
            <w:vAlign w:val="center"/>
          </w:tcPr>
          <w:p>
            <w:pPr>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是否有针对采空区（老窑）积水的防治措施，并实施。</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无措施或措施未实施，不得分。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jc w:val="center"/>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井下排水设施</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水仓容积、水泵、排水管路和水泵房布置是否满足设计要求。</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1.水仓容积、水泵、排水管路和水泵房布置与设计要求不符，不得分；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2.每年未进行水泵排水能力联合试验，扣10分。</w:t>
            </w:r>
          </w:p>
        </w:tc>
        <w:tc>
          <w:tcPr>
            <w:tcW w:w="1300" w:type="dxa"/>
            <w:vAlign w:val="center"/>
          </w:tcPr>
          <w:p>
            <w:pPr>
              <w:snapToGrid w:val="0"/>
              <w:jc w:val="left"/>
              <w:rPr>
                <w:rFonts w:hint="default" w:ascii="Times New Roman" w:hAnsi="Times New Roman" w:eastAsia="方正仿宋_GBK" w:cs="Times New Roman"/>
                <w:color w:val="auto"/>
                <w:sz w:val="18"/>
                <w:szCs w:val="18"/>
              </w:rPr>
            </w:pPr>
          </w:p>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5" w:type="dxa"/>
            <w:gridSpan w:val="5"/>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小计</w:t>
            </w:r>
          </w:p>
        </w:tc>
        <w:tc>
          <w:tcPr>
            <w:tcW w:w="2305" w:type="dxa"/>
            <w:vAlign w:val="center"/>
          </w:tcPr>
          <w:p>
            <w:pPr>
              <w:snapToGrid w:val="0"/>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snapToGrid w:val="0"/>
              <w:jc w:val="left"/>
              <w:rPr>
                <w:rFonts w:hint="default" w:ascii="Times New Roman" w:hAnsi="Times New Roman" w:eastAsia="方正仿宋_GBK" w:cs="Times New Roman"/>
                <w:color w:val="auto"/>
                <w:sz w:val="18"/>
                <w:szCs w:val="18"/>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restart"/>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七 </w:t>
            </w:r>
          </w:p>
        </w:tc>
        <w:tc>
          <w:tcPr>
            <w:tcW w:w="915" w:type="dxa"/>
            <w:gridSpan w:val="3"/>
            <w:vMerge w:val="restart"/>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防灭火</w:t>
            </w:r>
          </w:p>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w:t>
            </w:r>
            <w:r>
              <w:rPr>
                <w:rFonts w:hint="default" w:ascii="Times New Roman" w:hAnsi="Times New Roman" w:eastAsia="方正仿宋_GBK" w:cs="Times New Roman"/>
                <w:color w:val="auto"/>
                <w:sz w:val="18"/>
                <w:szCs w:val="18"/>
              </w:rPr>
              <w:t>40分）</w:t>
            </w: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消防</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设施</w:t>
            </w:r>
          </w:p>
        </w:tc>
        <w:tc>
          <w:tcPr>
            <w:tcW w:w="2305" w:type="dxa"/>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矿井是否设置不小于200m</w:t>
            </w:r>
            <w:r>
              <w:rPr>
                <w:rFonts w:hint="default" w:ascii="Times New Roman" w:hAnsi="Times New Roman" w:eastAsia="方正仿宋_GBK" w:cs="Times New Roman"/>
                <w:color w:val="auto"/>
                <w:sz w:val="18"/>
                <w:szCs w:val="18"/>
                <w:vertAlign w:val="superscript"/>
              </w:rPr>
              <w:t>3</w:t>
            </w:r>
            <w:r>
              <w:rPr>
                <w:rFonts w:hint="default" w:ascii="Times New Roman" w:hAnsi="Times New Roman" w:eastAsia="方正仿宋_GBK" w:cs="Times New Roman"/>
                <w:color w:val="auto"/>
                <w:sz w:val="18"/>
                <w:szCs w:val="18"/>
              </w:rPr>
              <w:t>消防水池，管路系统是否符合设计要求。</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w:t>
            </w:r>
          </w:p>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检查</w:t>
            </w:r>
          </w:p>
        </w:tc>
        <w:tc>
          <w:tcPr>
            <w:tcW w:w="4350" w:type="dxa"/>
            <w:vAlign w:val="center"/>
          </w:tcPr>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1.无消防水池，扣5分；消防水池容量小于200m</w:t>
            </w:r>
            <w:r>
              <w:rPr>
                <w:rFonts w:hint="default" w:ascii="Times New Roman" w:hAnsi="Times New Roman" w:eastAsia="方正仿宋_GBK" w:cs="Times New Roman"/>
                <w:color w:val="auto"/>
                <w:sz w:val="18"/>
                <w:szCs w:val="18"/>
                <w:vertAlign w:val="superscript"/>
              </w:rPr>
              <w:t>3</w:t>
            </w:r>
            <w:r>
              <w:rPr>
                <w:rFonts w:hint="default" w:ascii="Times New Roman" w:hAnsi="Times New Roman" w:eastAsia="方正仿宋_GBK" w:cs="Times New Roman"/>
                <w:color w:val="auto"/>
                <w:sz w:val="18"/>
                <w:szCs w:val="18"/>
              </w:rPr>
              <w:t>，扣2分；</w:t>
            </w:r>
          </w:p>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2.无消防主管路，扣5分；主管路内径小于80mm，扣2分。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Merge w:val="continue"/>
            <w:vAlign w:val="center"/>
          </w:tcPr>
          <w:p>
            <w:pPr>
              <w:snapToGrid w:val="0"/>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动火</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作业</w:t>
            </w:r>
          </w:p>
        </w:tc>
        <w:tc>
          <w:tcPr>
            <w:tcW w:w="2305" w:type="dxa"/>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1.井口50m 范围内的建筑物内是否存放有燃油、油脂或其它可燃材料；</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2.矿山是否制定动火作业制度和动火作业措施。</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30</w:t>
            </w:r>
          </w:p>
        </w:tc>
        <w:tc>
          <w:tcPr>
            <w:tcW w:w="1004" w:type="dxa"/>
            <w:vAlign w:val="center"/>
          </w:tcPr>
          <w:p>
            <w:pPr>
              <w:keepNext w:val="0"/>
              <w:keepLines w:val="0"/>
              <w:pageBreakBefore w:val="0"/>
              <w:tabs>
                <w:tab w:val="left" w:pos="312"/>
              </w:tabs>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查阅资料及现场</w:t>
            </w:r>
          </w:p>
        </w:tc>
        <w:tc>
          <w:tcPr>
            <w:tcW w:w="4350" w:type="dxa"/>
            <w:vAlign w:val="center"/>
          </w:tcPr>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1.井口50m范围内的建筑物存放燃油、油脂或可燃材料，扣10分；</w:t>
            </w:r>
          </w:p>
          <w:p>
            <w:pPr>
              <w:tabs>
                <w:tab w:val="left" w:pos="312"/>
              </w:tabs>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2.无动火作业制度，扣10分；井下动火作业无安全技术措施或未执行，扣10分。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5" w:type="dxa"/>
            <w:gridSpan w:val="5"/>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小计</w:t>
            </w:r>
          </w:p>
        </w:tc>
        <w:tc>
          <w:tcPr>
            <w:tcW w:w="2305" w:type="dxa"/>
            <w:vAlign w:val="center"/>
          </w:tcPr>
          <w:p>
            <w:pPr>
              <w:snapToGrid w:val="0"/>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40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snapToGrid w:val="0"/>
              <w:rPr>
                <w:rFonts w:hint="default" w:ascii="Times New Roman" w:hAnsi="Times New Roman" w:eastAsia="方正仿宋_GBK" w:cs="Times New Roman"/>
                <w:color w:val="auto"/>
                <w:sz w:val="18"/>
                <w:szCs w:val="18"/>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八</w:t>
            </w:r>
          </w:p>
        </w:tc>
        <w:tc>
          <w:tcPr>
            <w:tcW w:w="915" w:type="dxa"/>
            <w:gridSpan w:val="3"/>
            <w:vMerge w:val="restart"/>
            <w:vAlign w:val="center"/>
          </w:tcPr>
          <w:p>
            <w:pPr>
              <w:snapToGrid w:val="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安全避险系统</w:t>
            </w:r>
            <w:r>
              <w:rPr>
                <w:rFonts w:hint="default" w:ascii="Times New Roman" w:hAnsi="Times New Roman" w:eastAsia="方正仿宋_GBK" w:cs="Times New Roman"/>
                <w:color w:val="auto"/>
                <w:sz w:val="18"/>
                <w:szCs w:val="18"/>
                <w:lang w:val="en-US" w:eastAsia="zh-CN"/>
              </w:rPr>
              <w:t>(</w:t>
            </w:r>
            <w:r>
              <w:rPr>
                <w:rFonts w:hint="default" w:ascii="Times New Roman" w:hAnsi="Times New Roman" w:eastAsia="方正仿宋_GBK" w:cs="Times New Roman"/>
                <w:color w:val="auto"/>
                <w:sz w:val="18"/>
                <w:szCs w:val="18"/>
              </w:rPr>
              <w:t>60分）</w:t>
            </w: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配备</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1.是否按设计建立安全避险系统；</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2.自救器是否按要求配备并使用；</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3.每个作业点是否配备多参数气体监测仪。</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1.</w:t>
            </w:r>
            <w:r>
              <w:rPr>
                <w:rFonts w:hint="default" w:ascii="Times New Roman" w:hAnsi="Times New Roman" w:eastAsia="方正仿宋_GBK" w:cs="Times New Roman"/>
                <w:color w:val="auto"/>
                <w:sz w:val="18"/>
                <w:szCs w:val="18"/>
              </w:rPr>
              <w:t>未按设计建立安全避险系统</w:t>
            </w:r>
            <w:r>
              <w:rPr>
                <w:rFonts w:hint="default" w:ascii="Times New Roman" w:hAnsi="Times New Roman" w:eastAsia="方正仿宋_GBK" w:cs="Times New Roman"/>
                <w:color w:val="auto"/>
                <w:kern w:val="0"/>
                <w:sz w:val="18"/>
                <w:szCs w:val="18"/>
                <w:lang w:bidi="ar"/>
              </w:rPr>
              <w:t>，每差一系统扣10分；</w:t>
            </w:r>
          </w:p>
          <w:p>
            <w:pPr>
              <w:widowControl/>
              <w:snapToGrid w:val="0"/>
              <w:ind w:firstLine="180" w:firstLineChars="100"/>
              <w:jc w:val="left"/>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2.</w:t>
            </w:r>
            <w:r>
              <w:rPr>
                <w:rFonts w:hint="default" w:ascii="Times New Roman" w:hAnsi="Times New Roman" w:eastAsia="方正仿宋_GBK" w:cs="Times New Roman"/>
                <w:color w:val="auto"/>
                <w:sz w:val="18"/>
                <w:szCs w:val="18"/>
              </w:rPr>
              <w:t>未按要求配备或使用自救器</w:t>
            </w:r>
            <w:r>
              <w:rPr>
                <w:rFonts w:hint="default" w:ascii="Times New Roman" w:hAnsi="Times New Roman" w:eastAsia="方正仿宋_GBK" w:cs="Times New Roman"/>
                <w:color w:val="auto"/>
                <w:kern w:val="0"/>
                <w:sz w:val="18"/>
                <w:szCs w:val="18"/>
                <w:lang w:bidi="ar"/>
              </w:rPr>
              <w:t>，扣20分；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3.</w:t>
            </w:r>
            <w:r>
              <w:rPr>
                <w:rFonts w:hint="default" w:ascii="Times New Roman" w:hAnsi="Times New Roman" w:eastAsia="方正仿宋_GBK" w:cs="Times New Roman"/>
                <w:color w:val="auto"/>
                <w:sz w:val="18"/>
                <w:szCs w:val="18"/>
              </w:rPr>
              <w:t>每个班组都应携带气体检测仪，随时监测H</w:t>
            </w:r>
            <w:r>
              <w:rPr>
                <w:rFonts w:hint="default" w:ascii="Times New Roman" w:hAnsi="Times New Roman" w:eastAsia="方正仿宋_GBK" w:cs="Times New Roman"/>
                <w:color w:val="auto"/>
                <w:sz w:val="18"/>
                <w:szCs w:val="18"/>
                <w:vertAlign w:val="subscript"/>
              </w:rPr>
              <w:t>2</w:t>
            </w:r>
            <w:r>
              <w:rPr>
                <w:rFonts w:hint="default" w:ascii="Times New Roman" w:hAnsi="Times New Roman" w:eastAsia="方正仿宋_GBK" w:cs="Times New Roman"/>
                <w:color w:val="auto"/>
                <w:sz w:val="18"/>
                <w:szCs w:val="18"/>
              </w:rPr>
              <w:t>S等有毒有害气体</w:t>
            </w:r>
            <w:r>
              <w:rPr>
                <w:rFonts w:hint="default" w:ascii="Times New Roman" w:hAnsi="Times New Roman" w:eastAsia="方正仿宋_GBK" w:cs="Times New Roman"/>
                <w:color w:val="auto"/>
                <w:kern w:val="0"/>
                <w:sz w:val="18"/>
                <w:szCs w:val="18"/>
                <w:lang w:bidi="ar"/>
              </w:rPr>
              <w:t>，否则扣20分。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安装</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安全避险系统是否按设计要求安装。</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1.井下分站、读卡器未安设于围岩稳定、支护良好的巷道中，距底板小于0.3m位置的，一处扣5</w:t>
            </w:r>
            <w:r>
              <w:rPr>
                <w:rFonts w:hint="default" w:ascii="Times New Roman" w:hAnsi="Times New Roman" w:eastAsia="方正仿宋_GBK" w:cs="Times New Roman"/>
                <w:color w:val="auto"/>
                <w:kern w:val="0"/>
                <w:sz w:val="15"/>
                <w:szCs w:val="15"/>
                <w:lang w:val="en-US" w:eastAsia="zh-CN" w:bidi="ar"/>
              </w:rPr>
              <w:t>分</w:t>
            </w:r>
            <w:r>
              <w:rPr>
                <w:rFonts w:hint="default" w:ascii="Times New Roman" w:hAnsi="Times New Roman" w:eastAsia="方正仿宋_GBK" w:cs="Times New Roman"/>
                <w:color w:val="auto"/>
                <w:kern w:val="0"/>
                <w:sz w:val="15"/>
                <w:szCs w:val="15"/>
                <w:lang w:bidi="ar"/>
              </w:rPr>
              <w:t>；</w:t>
            </w:r>
          </w:p>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2.有人员出入的井口、重点区域出入口、限制区域等未设置读卡分站的，一处扣5分；</w:t>
            </w:r>
          </w:p>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3.一氧化碳传感器垂直悬挂距顶板大于0.3m，距巷壁小于0.2m；二氧化氮传感器、硫化氢传感器和二氧化硫传感器安设位置距底板大于1.6m的；一处扣5分；</w:t>
            </w:r>
          </w:p>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4.每个生产中段和分段的进、回风巷靠近采场位置未设置一氧化碳或二氧化氮传感器，一处扣5分；</w:t>
            </w:r>
          </w:p>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5.压入式通风的独头掘进巷道，未在距离回风出口5~10m回风流中设置一氧化碳或二氧化氮传感器，一处扣5分；抽出式和混合式通风的独头掘进巷道，未在风筒出风口后10~15m处设置一氧化碳或二氧化氮传感器，一处扣5分；</w:t>
            </w:r>
          </w:p>
          <w:p>
            <w:pPr>
              <w:widowControl/>
              <w:snapToGrid w:val="0"/>
              <w:ind w:firstLine="15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5"/>
                <w:szCs w:val="15"/>
                <w:lang w:bidi="ar"/>
              </w:rPr>
              <w:t>6.通信电缆未从不同井筒进入井下配线的，扣5分；井下主要机电硐室、绞车房、车场、主泵房、变电所、采掘工作面和装卸矿仓未安设通信电话的，一处扣5分，无通信</w:t>
            </w:r>
            <w:r>
              <w:rPr>
                <w:rFonts w:hint="eastAsia" w:ascii="Times New Roman" w:hAnsi="Times New Roman" w:cs="Times New Roman"/>
                <w:color w:val="auto"/>
                <w:kern w:val="0"/>
                <w:sz w:val="15"/>
                <w:szCs w:val="15"/>
                <w:lang w:eastAsia="zh-CN" w:bidi="ar"/>
              </w:rPr>
              <w:t>号码簿</w:t>
            </w:r>
            <w:r>
              <w:rPr>
                <w:rFonts w:hint="default" w:ascii="Times New Roman" w:hAnsi="Times New Roman" w:eastAsia="方正仿宋_GBK" w:cs="Times New Roman"/>
                <w:color w:val="auto"/>
                <w:kern w:val="0"/>
                <w:sz w:val="15"/>
                <w:szCs w:val="15"/>
                <w:lang w:bidi="ar"/>
              </w:rPr>
              <w:t>的，一处扣2分。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511" w:type="dxa"/>
            <w:vMerge w:val="continue"/>
            <w:vAlign w:val="center"/>
          </w:tcPr>
          <w:p>
            <w:pPr>
              <w:snapToGrid w:val="0"/>
              <w:jc w:val="center"/>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运行</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安全避险系统是否正常运行。</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查阅资料和现场</w:t>
            </w:r>
          </w:p>
        </w:tc>
        <w:tc>
          <w:tcPr>
            <w:tcW w:w="4350" w:type="dxa"/>
            <w:vAlign w:val="center"/>
          </w:tcPr>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1.地面未设置安全避险系统监控室的，扣10分；监控室未悬挂矿井监测监控、人员定位、供水施救、压风自救和通信联络</w:t>
            </w:r>
            <w:bookmarkStart w:id="0" w:name="_GoBack"/>
            <w:bookmarkEnd w:id="0"/>
            <w:r>
              <w:rPr>
                <w:rFonts w:hint="default" w:ascii="Times New Roman" w:hAnsi="Times New Roman" w:eastAsia="方正仿宋_GBK" w:cs="Times New Roman"/>
                <w:color w:val="auto"/>
                <w:kern w:val="0"/>
                <w:sz w:val="15"/>
                <w:szCs w:val="15"/>
                <w:lang w:bidi="ar"/>
              </w:rPr>
              <w:t>系统布置图，一处扣2分；</w:t>
            </w:r>
          </w:p>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2.监测监控系统和人员定位系统主机及联网主机无双机热备份，或不能连续运行，备用电源不能支持系统连续工作2h以上的，扣5分；</w:t>
            </w:r>
          </w:p>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3.监测监控系统不能保存监控数据1个月的，扣5分；</w:t>
            </w:r>
          </w:p>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4.传感器未进行日常维护调校，一氧化碳传感器报警浓度高于24ppm，二氧化氮传感器报警浓度高于2.5ppm，硫化氢传传感器报警浓度高于6.6ppm，二氧化硫传感器报警浓度高于5.3ppm，一处扣5分；</w:t>
            </w:r>
          </w:p>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r>
              <w:rPr>
                <w:rFonts w:hint="default" w:ascii="Times New Roman" w:hAnsi="Times New Roman" w:eastAsia="方正仿宋_GBK" w:cs="Times New Roman"/>
                <w:color w:val="auto"/>
                <w:kern w:val="0"/>
                <w:sz w:val="15"/>
                <w:szCs w:val="15"/>
                <w:lang w:bidi="ar"/>
              </w:rPr>
              <w:t>5.调度室值班人员未填写监视监控信息运行日志的，无系统发出报警、断电、馈电异常等信息处理过程和处理结果记录的，一处扣2分。</w:t>
            </w:r>
          </w:p>
        </w:tc>
        <w:tc>
          <w:tcPr>
            <w:tcW w:w="1300" w:type="dxa"/>
            <w:vAlign w:val="center"/>
          </w:tcPr>
          <w:p>
            <w:pPr>
              <w:widowControl/>
              <w:snapToGrid w:val="0"/>
              <w:ind w:firstLine="150" w:firstLineChars="100"/>
              <w:jc w:val="left"/>
              <w:rPr>
                <w:rFonts w:hint="default" w:ascii="Times New Roman" w:hAnsi="Times New Roman" w:eastAsia="方正仿宋_GBK" w:cs="Times New Roman"/>
                <w:color w:val="auto"/>
                <w:kern w:val="0"/>
                <w:sz w:val="15"/>
                <w:szCs w:val="15"/>
                <w:lang w:bidi="ar"/>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5" w:type="dxa"/>
            <w:gridSpan w:val="5"/>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小计</w:t>
            </w:r>
          </w:p>
        </w:tc>
        <w:tc>
          <w:tcPr>
            <w:tcW w:w="2305" w:type="dxa"/>
            <w:vAlign w:val="center"/>
          </w:tcPr>
          <w:p>
            <w:pPr>
              <w:snapToGrid w:val="0"/>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60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snapToGrid w:val="0"/>
              <w:jc w:val="center"/>
              <w:rPr>
                <w:rFonts w:hint="default" w:ascii="Times New Roman" w:hAnsi="Times New Roman" w:eastAsia="方正仿宋_GBK" w:cs="Times New Roman"/>
                <w:color w:val="auto"/>
                <w:sz w:val="18"/>
                <w:szCs w:val="18"/>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九</w:t>
            </w:r>
          </w:p>
        </w:tc>
        <w:tc>
          <w:tcPr>
            <w:tcW w:w="915" w:type="dxa"/>
            <w:gridSpan w:val="3"/>
            <w:vMerge w:val="restart"/>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地面设施（40分）</w:t>
            </w: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工业</w:t>
            </w:r>
          </w:p>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广场</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地表主要建构筑物、主要开拓工程入口，存在地质滑坡、坍塌、泥石流等危险因素时，是否采取安全措施。</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查阅资料和现场</w:t>
            </w:r>
          </w:p>
        </w:tc>
        <w:tc>
          <w:tcPr>
            <w:tcW w:w="4350"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存在地质滑坡、坍塌、泥石流等危险因素，未采取安全措施，不得分。</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Merge w:val="continue"/>
            <w:vAlign w:val="center"/>
          </w:tcPr>
          <w:p>
            <w:pPr>
              <w:snapToGrid w:val="0"/>
              <w:rPr>
                <w:rFonts w:hint="default" w:ascii="Times New Roman" w:hAnsi="Times New Roman" w:eastAsia="方正仿宋_GBK" w:cs="Times New Roman"/>
                <w:color w:val="auto"/>
                <w:sz w:val="18"/>
                <w:szCs w:val="18"/>
              </w:rPr>
            </w:pPr>
          </w:p>
        </w:tc>
        <w:tc>
          <w:tcPr>
            <w:tcW w:w="915" w:type="dxa"/>
            <w:gridSpan w:val="3"/>
            <w:vMerge w:val="continue"/>
            <w:vAlign w:val="center"/>
          </w:tcPr>
          <w:p>
            <w:pPr>
              <w:snapToGrid w:val="0"/>
              <w:rPr>
                <w:rFonts w:hint="default" w:ascii="Times New Roman" w:hAnsi="Times New Roman" w:eastAsia="方正仿宋_GBK" w:cs="Times New Roman"/>
                <w:color w:val="auto"/>
                <w:sz w:val="18"/>
                <w:szCs w:val="18"/>
              </w:rPr>
            </w:pPr>
          </w:p>
        </w:tc>
        <w:tc>
          <w:tcPr>
            <w:tcW w:w="759"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破碎站</w:t>
            </w:r>
          </w:p>
        </w:tc>
        <w:tc>
          <w:tcPr>
            <w:tcW w:w="2305" w:type="dxa"/>
            <w:vAlign w:val="center"/>
          </w:tcPr>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1.料仓入口是否安设安全车挡；</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2.是否设置防护栏或防护罩。</w:t>
            </w: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1004" w:type="dxa"/>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检查</w:t>
            </w:r>
          </w:p>
        </w:tc>
        <w:tc>
          <w:tcPr>
            <w:tcW w:w="4350" w:type="dxa"/>
            <w:vAlign w:val="center"/>
          </w:tcPr>
          <w:p>
            <w:pPr>
              <w:widowControl/>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1.卸矿平台或料仓入口未安设安全车挡，车挡高度低于转运车辆最大车轮直径1/3的，扣10分；</w:t>
            </w:r>
          </w:p>
          <w:p>
            <w:pPr>
              <w:widowControl/>
              <w:snapToGrid w:val="0"/>
              <w:ind w:firstLine="180" w:firstLineChars="100"/>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2.距地面高度1.2</w:t>
            </w:r>
            <w:r>
              <w:rPr>
                <w:rFonts w:hint="default" w:ascii="Times New Roman" w:hAnsi="Times New Roman" w:eastAsia="方正仿宋_GBK" w:cs="Times New Roman"/>
                <w:color w:val="auto"/>
                <w:sz w:val="18"/>
                <w:szCs w:val="18"/>
                <w:lang w:val="en-US" w:eastAsia="zh-CN"/>
              </w:rPr>
              <w:t>m</w:t>
            </w:r>
            <w:r>
              <w:rPr>
                <w:rFonts w:hint="default" w:ascii="Times New Roman" w:hAnsi="Times New Roman" w:eastAsia="方正仿宋_GBK" w:cs="Times New Roman"/>
                <w:color w:val="auto"/>
                <w:sz w:val="18"/>
                <w:szCs w:val="18"/>
              </w:rPr>
              <w:t>及以上的平台、通道或破碎进料口的所有敞开边缘未设置防护栏杆或防护栏杆不合格的，一处扣5分；</w:t>
            </w:r>
          </w:p>
          <w:p>
            <w:pPr>
              <w:snapToGrid w:val="0"/>
              <w:ind w:firstLine="180" w:firstLineChars="100"/>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3.设备裸露转动部件外围未设置有效防护罩</w:t>
            </w:r>
            <w:r>
              <w:rPr>
                <w:rFonts w:hint="default" w:ascii="Times New Roman" w:hAnsi="Times New Roman" w:eastAsia="方正仿宋_GBK" w:cs="Times New Roman"/>
                <w:color w:val="auto"/>
                <w:sz w:val="18"/>
                <w:szCs w:val="18"/>
              </w:rPr>
              <w:t>，一处扣5分</w:t>
            </w:r>
            <w:r>
              <w:rPr>
                <w:rFonts w:hint="default" w:ascii="Times New Roman" w:hAnsi="Times New Roman" w:eastAsia="方正仿宋_GBK" w:cs="Times New Roman"/>
                <w:color w:val="auto"/>
                <w:kern w:val="0"/>
                <w:sz w:val="18"/>
                <w:szCs w:val="18"/>
                <w:lang w:bidi="ar"/>
              </w:rPr>
              <w:t>。</w:t>
            </w: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5" w:type="dxa"/>
            <w:gridSpan w:val="5"/>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小计</w:t>
            </w:r>
          </w:p>
        </w:tc>
        <w:tc>
          <w:tcPr>
            <w:tcW w:w="2305" w:type="dxa"/>
            <w:vAlign w:val="center"/>
          </w:tcPr>
          <w:p>
            <w:pPr>
              <w:snapToGrid w:val="0"/>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40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snapToGrid w:val="0"/>
              <w:jc w:val="center"/>
              <w:rPr>
                <w:rFonts w:hint="default" w:ascii="Times New Roman" w:hAnsi="Times New Roman" w:eastAsia="方正仿宋_GBK" w:cs="Times New Roman"/>
                <w:color w:val="auto"/>
                <w:sz w:val="18"/>
                <w:szCs w:val="18"/>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0" w:type="dxa"/>
            <w:gridSpan w:val="6"/>
            <w:vAlign w:val="center"/>
          </w:tcPr>
          <w:p>
            <w:pPr>
              <w:snapToGrid w:val="0"/>
              <w:jc w:val="center"/>
              <w:rPr>
                <w:rFonts w:hint="default" w:ascii="Times New Roman" w:hAnsi="Times New Roman" w:eastAsia="方正仿宋_GBK" w:cs="Times New Roman"/>
                <w:color w:val="auto"/>
                <w:sz w:val="18"/>
                <w:szCs w:val="18"/>
              </w:rPr>
            </w:pPr>
          </w:p>
        </w:tc>
        <w:tc>
          <w:tcPr>
            <w:tcW w:w="827" w:type="dxa"/>
            <w:vAlign w:val="center"/>
          </w:tcPr>
          <w:p>
            <w:pPr>
              <w:snapToGrid w:val="0"/>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1000</w:t>
            </w:r>
          </w:p>
        </w:tc>
        <w:tc>
          <w:tcPr>
            <w:tcW w:w="1004" w:type="dxa"/>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方正仿宋_GBK" w:cs="Times New Roman"/>
                <w:color w:val="auto"/>
                <w:sz w:val="18"/>
                <w:szCs w:val="18"/>
              </w:rPr>
            </w:pPr>
          </w:p>
        </w:tc>
        <w:tc>
          <w:tcPr>
            <w:tcW w:w="4350" w:type="dxa"/>
            <w:vAlign w:val="center"/>
          </w:tcPr>
          <w:p>
            <w:pPr>
              <w:snapToGrid w:val="0"/>
              <w:jc w:val="center"/>
              <w:rPr>
                <w:rFonts w:hint="default" w:ascii="Times New Roman" w:hAnsi="Times New Roman" w:eastAsia="方正仿宋_GBK" w:cs="Times New Roman"/>
                <w:color w:val="auto"/>
                <w:sz w:val="18"/>
                <w:szCs w:val="18"/>
              </w:rPr>
            </w:pPr>
          </w:p>
        </w:tc>
        <w:tc>
          <w:tcPr>
            <w:tcW w:w="1300" w:type="dxa"/>
            <w:vAlign w:val="center"/>
          </w:tcPr>
          <w:p>
            <w:pPr>
              <w:snapToGrid w:val="0"/>
              <w:jc w:val="center"/>
              <w:rPr>
                <w:rFonts w:hint="default" w:ascii="Times New Roman" w:hAnsi="Times New Roman" w:eastAsia="方正仿宋_GBK" w:cs="Times New Roman"/>
                <w:color w:val="auto"/>
                <w:sz w:val="18"/>
                <w:szCs w:val="18"/>
              </w:rPr>
            </w:pPr>
          </w:p>
        </w:tc>
        <w:tc>
          <w:tcPr>
            <w:tcW w:w="704" w:type="dxa"/>
          </w:tcPr>
          <w:p>
            <w:pPr>
              <w:snapToGrid w:val="0"/>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2675" w:type="dxa"/>
            <w:gridSpan w:val="11"/>
            <w:vAlign w:val="center"/>
          </w:tcPr>
          <w:p>
            <w:pPr>
              <w:keepNext w:val="0"/>
              <w:keepLines w:val="0"/>
              <w:pageBreakBefore w:val="0"/>
              <w:kinsoku/>
              <w:wordWrap/>
              <w:overflowPunct/>
              <w:topLinePunct w:val="0"/>
              <w:autoSpaceDE/>
              <w:autoSpaceDN/>
              <w:bidi w:val="0"/>
              <w:adjustRightInd/>
              <w:snapToGrid w:val="0"/>
              <w:ind w:firstLine="0" w:firstLineChars="0"/>
              <w:jc w:val="left"/>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
                <w:bCs/>
                <w:color w:val="auto"/>
                <w:sz w:val="18"/>
                <w:szCs w:val="18"/>
              </w:rPr>
              <w:t>风险控制程度分值为：</w:t>
            </w:r>
            <w:r>
              <w:rPr>
                <w:rFonts w:hint="default" w:ascii="Times New Roman" w:hAnsi="Times New Roman" w:eastAsia="方正仿宋_GBK" w:cs="Times New Roman"/>
                <w:b/>
                <w:bCs/>
                <w:color w:val="auto"/>
                <w:sz w:val="18"/>
                <w:szCs w:val="18"/>
                <w:u w:val="single"/>
              </w:rPr>
              <w:t xml:space="preserve">    </w:t>
            </w:r>
            <w:r>
              <w:rPr>
                <w:rFonts w:hint="default" w:ascii="Times New Roman" w:hAnsi="Times New Roman" w:eastAsia="方正仿宋_GBK" w:cs="Times New Roman"/>
                <w:b/>
                <w:bCs/>
                <w:color w:val="auto"/>
                <w:sz w:val="18"/>
                <w:szCs w:val="18"/>
                <w:u w:val="single"/>
                <w:lang w:val="en-US" w:eastAsia="zh-CN"/>
              </w:rPr>
              <w:t xml:space="preserve">     </w:t>
            </w:r>
            <w:r>
              <w:rPr>
                <w:rFonts w:hint="default" w:ascii="Times New Roman" w:hAnsi="Times New Roman" w:eastAsia="方正仿宋_GBK" w:cs="Times New Roman"/>
                <w:b/>
                <w:bCs/>
                <w:color w:val="auto"/>
                <w:sz w:val="18"/>
                <w:szCs w:val="18"/>
                <w:u w:val="single"/>
              </w:rPr>
              <w:t xml:space="preserve">     </w:t>
            </w:r>
            <w:r>
              <w:rPr>
                <w:rFonts w:hint="default" w:ascii="Times New Roman" w:hAnsi="Times New Roman" w:eastAsia="方正仿宋_GBK" w:cs="Times New Roman"/>
                <w:b/>
                <w:bCs/>
                <w:color w:val="auto"/>
                <w:sz w:val="18"/>
                <w:szCs w:val="18"/>
              </w:rPr>
              <w:t>，风险控制程度等级：</w:t>
            </w:r>
            <w:r>
              <w:rPr>
                <w:rFonts w:hint="default" w:ascii="Times New Roman" w:hAnsi="Times New Roman" w:eastAsia="方正仿宋_GBK" w:cs="Times New Roman"/>
                <w:b/>
                <w:bCs/>
                <w:color w:val="auto"/>
                <w:sz w:val="18"/>
                <w:szCs w:val="18"/>
                <w:u w:val="single"/>
              </w:rPr>
              <w:t xml:space="preserve">    </w:t>
            </w:r>
            <w:r>
              <w:rPr>
                <w:rFonts w:hint="default" w:ascii="Times New Roman" w:hAnsi="Times New Roman" w:eastAsia="方正仿宋_GBK" w:cs="Times New Roman"/>
                <w:b/>
                <w:bCs/>
                <w:color w:val="auto"/>
                <w:sz w:val="18"/>
                <w:szCs w:val="18"/>
                <w:u w:val="single"/>
                <w:lang w:val="en-US" w:eastAsia="zh-CN"/>
              </w:rPr>
              <w:t xml:space="preserve">      </w:t>
            </w:r>
            <w:r>
              <w:rPr>
                <w:rFonts w:hint="default" w:ascii="Times New Roman" w:hAnsi="Times New Roman" w:eastAsia="方正仿宋_GBK" w:cs="Times New Roman"/>
                <w:b/>
                <w:bCs/>
                <w:color w:val="auto"/>
                <w:sz w:val="18"/>
                <w:szCs w:val="18"/>
                <w:u w:val="single"/>
              </w:rPr>
              <w:t xml:space="preserve">     </w:t>
            </w:r>
            <w:r>
              <w:rPr>
                <w:rFonts w:hint="default" w:ascii="Times New Roman" w:hAnsi="Times New Roman" w:eastAsia="方正仿宋_GBK" w:cs="Times New Roman"/>
                <w:b/>
                <w:bCs/>
                <w:color w:val="auto"/>
                <w:sz w:val="18"/>
                <w:szCs w:val="18"/>
              </w:rPr>
              <w:t>。</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60" w:firstLineChars="200"/>
        <w:jc w:val="both"/>
        <w:textAlignment w:val="auto"/>
        <w:outlineLvl w:val="9"/>
        <w:rPr>
          <w:rFonts w:hint="default" w:ascii="Times New Roman" w:hAnsi="Times New Roman" w:eastAsia="方正仿宋_GBK" w:cs="Times New Roman"/>
          <w:sz w:val="18"/>
          <w:szCs w:val="18"/>
        </w:rPr>
        <w:sectPr>
          <w:footerReference r:id="rId5" w:type="default"/>
          <w:pgSz w:w="16838" w:h="11906" w:orient="landscape"/>
          <w:pgMar w:top="1587" w:right="2154" w:bottom="1474" w:left="2041" w:header="851" w:footer="992" w:gutter="0"/>
          <w:pgBorders>
            <w:top w:val="none" w:sz="0" w:space="0"/>
            <w:left w:val="none" w:sz="0" w:space="0"/>
            <w:bottom w:val="none" w:sz="0" w:space="0"/>
            <w:right w:val="none" w:sz="0" w:space="0"/>
          </w:pgBorders>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p>
    <w:p>
      <w:pPr>
        <w:rPr>
          <w:rFonts w:hint="default" w:ascii="Times New Roman" w:hAnsi="Times New Roman" w:eastAsia="方正仿宋_GBK" w:cs="Times New Roman"/>
          <w:kern w:val="2"/>
          <w:sz w:val="32"/>
          <w:szCs w:val="22"/>
          <w:lang w:val="en-US" w:eastAsia="zh-CN" w:bidi="ar-SA"/>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widowControl w:val="0"/>
        <w:pBdr>
          <w:top w:val="single" w:color="auto" w:sz="8" w:space="0"/>
          <w:left w:val="none" w:color="auto" w:sz="0" w:space="4"/>
          <w:bottom w:val="single" w:color="auto" w:sz="8" w:space="0"/>
          <w:right w:val="none" w:color="auto" w:sz="0" w:space="4"/>
          <w:between w:val="none" w:color="auto" w:sz="0" w:space="0"/>
        </w:pBdr>
        <w:kinsoku/>
        <w:wordWrap/>
        <w:overflowPunct/>
        <w:topLinePunct w:val="0"/>
        <w:autoSpaceDE/>
        <w:autoSpaceDN/>
        <w:bidi w:val="0"/>
        <w:adjustRightInd/>
        <w:snapToGrid/>
        <w:jc w:val="both"/>
        <w:textAlignment w:val="auto"/>
        <w:outlineLvl w:val="9"/>
        <w:rPr>
          <w:rFonts w:hint="default" w:ascii="Times New Roman" w:hAnsi="Times New Roman" w:cs="Times New Roman"/>
          <w:lang w:val="en-US" w:eastAsia="zh-CN"/>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3601085</wp:posOffset>
            </wp:positionH>
            <wp:positionV relativeFrom="paragraph">
              <wp:posOffset>422910</wp:posOffset>
            </wp:positionV>
            <wp:extent cx="1790700" cy="590550"/>
            <wp:effectExtent l="0" t="0" r="0" b="0"/>
            <wp:wrapNone/>
            <wp:docPr id="4"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true"/>
                    </pic:cNvPicPr>
                  </pic:nvPicPr>
                  <pic:blipFill>
                    <a:blip r:embed="rId9"/>
                    <a:stretch>
                      <a:fillRect/>
                    </a:stretch>
                  </pic:blipFill>
                  <pic:spPr>
                    <a:xfrm>
                      <a:off x="0" y="0"/>
                      <a:ext cx="1790700" cy="590550"/>
                    </a:xfrm>
                    <a:prstGeom prst="rect">
                      <a:avLst/>
                    </a:prstGeom>
                    <a:noFill/>
                    <a:ln w="9525">
                      <a:noFill/>
                    </a:ln>
                  </pic:spPr>
                </pic:pic>
              </a:graphicData>
            </a:graphic>
          </wp:anchor>
        </w:drawing>
      </w:r>
      <w:r>
        <w:rPr>
          <w:rFonts w:hint="default" w:ascii="Times New Roman" w:hAnsi="Times New Roman" w:eastAsia="方正仿宋_GBK" w:cs="Times New Roman"/>
          <w:sz w:val="28"/>
          <w:szCs w:val="28"/>
        </w:rPr>
        <w:t>重庆市</w:t>
      </w:r>
      <w:r>
        <w:rPr>
          <w:rFonts w:hint="default" w:ascii="Times New Roman" w:hAnsi="Times New Roman" w:eastAsia="方正仿宋_GBK" w:cs="Times New Roman"/>
          <w:sz w:val="28"/>
          <w:szCs w:val="28"/>
          <w:lang w:eastAsia="zh-CN"/>
        </w:rPr>
        <w:t>应急管理局</w:t>
      </w:r>
      <w:r>
        <w:rPr>
          <w:rFonts w:hint="default" w:ascii="Times New Roman" w:hAnsi="Times New Roman" w:eastAsia="方正仿宋_GBK" w:cs="Times New Roman"/>
          <w:sz w:val="28"/>
          <w:szCs w:val="28"/>
        </w:rPr>
        <w:t xml:space="preserve">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default" w:ascii="Times New Roman" w:hAnsi="Times New Roman"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6</w:t>
      </w:r>
      <w:r>
        <w:rPr>
          <w:rFonts w:hint="default" w:ascii="Times New Roman" w:hAnsi="Times New Roman" w:eastAsia="方正仿宋_GBK" w:cs="Times New Roman"/>
          <w:sz w:val="28"/>
          <w:szCs w:val="28"/>
        </w:rPr>
        <w:t>月</w:t>
      </w:r>
      <w:r>
        <w:rPr>
          <w:rFonts w:hint="default" w:ascii="Times New Roman" w:hAnsi="Times New Roman" w:cs="Times New Roman"/>
          <w:sz w:val="28"/>
          <w:szCs w:val="28"/>
          <w:lang w:val="en-US" w:eastAsia="zh-CN"/>
        </w:rPr>
        <w:t>14</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sectPr>
      <w:pgSz w:w="11906" w:h="16838"/>
      <w:pgMar w:top="2098" w:right="1474" w:bottom="1984" w:left="1587" w:header="851" w:footer="1474" w:gutter="0"/>
      <w:pgBorders>
        <w:top w:val="none" w:sz="0" w:space="0"/>
        <w:left w:val="none" w:sz="0" w:space="0"/>
        <w:bottom w:val="none" w:sz="0" w:space="0"/>
        <w:right w:val="none" w:sz="0" w:space="0"/>
      </w:pgBorders>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val="0"/>
      <w:overflowPunct/>
      <w:topLinePunct w:val="0"/>
      <w:autoSpaceDE/>
      <w:autoSpaceDN/>
      <w:bidi w:val="0"/>
      <w:adjustRightInd/>
      <w:snapToGrid w:val="0"/>
      <w:ind w:firstLine="0" w:firstLineChars="0"/>
      <w:jc w:val="right"/>
      <w:textAlignment w:val="auto"/>
      <w:outlineLvl w:val="9"/>
      <w:rPr>
        <w:lang w:val="en-US"/>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firstLine="280" w:firstLineChars="100"/>
      <w:jc w:val="left"/>
      <w:textAlignment w:val="auto"/>
      <w:outlineLvl w:val="9"/>
      <w:rPr>
        <w:lang w:val="en-US"/>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val="0"/>
      <w:overflowPunct/>
      <w:topLinePunct w:val="0"/>
      <w:autoSpaceDE/>
      <w:autoSpaceDN/>
      <w:bidi w:val="0"/>
      <w:adjustRightInd/>
      <w:snapToGrid w:val="0"/>
      <w:ind w:firstLine="280" w:firstLineChars="100"/>
      <w:jc w:val="right"/>
      <w:textAlignment w:val="auto"/>
      <w:outlineLvl w:val="9"/>
      <w:rPr>
        <w:lang w:val="en-US"/>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707CB"/>
    <w:multiLevelType w:val="singleLevel"/>
    <w:tmpl w:val="BFF707C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5OWE0MDZiYjFmM2M0ZmVhMzY0MzhiMjFmMjYwN2YifQ=="/>
  </w:docVars>
  <w:rsids>
    <w:rsidRoot w:val="00767CA2"/>
    <w:rsid w:val="00004FF9"/>
    <w:rsid w:val="00010664"/>
    <w:rsid w:val="0001212A"/>
    <w:rsid w:val="000255F9"/>
    <w:rsid w:val="000319C2"/>
    <w:rsid w:val="00041B90"/>
    <w:rsid w:val="00041CA4"/>
    <w:rsid w:val="00081A19"/>
    <w:rsid w:val="000856A7"/>
    <w:rsid w:val="000A062C"/>
    <w:rsid w:val="000B5390"/>
    <w:rsid w:val="00104569"/>
    <w:rsid w:val="00137FB2"/>
    <w:rsid w:val="0015160A"/>
    <w:rsid w:val="00163DC0"/>
    <w:rsid w:val="00183FEF"/>
    <w:rsid w:val="001A29A3"/>
    <w:rsid w:val="001A2EC4"/>
    <w:rsid w:val="001A5465"/>
    <w:rsid w:val="001C63BF"/>
    <w:rsid w:val="002010DF"/>
    <w:rsid w:val="00201415"/>
    <w:rsid w:val="002048CB"/>
    <w:rsid w:val="0021525D"/>
    <w:rsid w:val="00226BD6"/>
    <w:rsid w:val="00251A0F"/>
    <w:rsid w:val="00277139"/>
    <w:rsid w:val="00281B47"/>
    <w:rsid w:val="00296F9E"/>
    <w:rsid w:val="002B530E"/>
    <w:rsid w:val="002C0904"/>
    <w:rsid w:val="002D5D0D"/>
    <w:rsid w:val="002E3030"/>
    <w:rsid w:val="003006C3"/>
    <w:rsid w:val="0030105B"/>
    <w:rsid w:val="00314E23"/>
    <w:rsid w:val="00315586"/>
    <w:rsid w:val="00320260"/>
    <w:rsid w:val="00324955"/>
    <w:rsid w:val="00331EDF"/>
    <w:rsid w:val="00335E7D"/>
    <w:rsid w:val="00350ACD"/>
    <w:rsid w:val="0035663C"/>
    <w:rsid w:val="00374A90"/>
    <w:rsid w:val="003870D8"/>
    <w:rsid w:val="003B76A6"/>
    <w:rsid w:val="003C1088"/>
    <w:rsid w:val="003D2D33"/>
    <w:rsid w:val="003D659C"/>
    <w:rsid w:val="003D691B"/>
    <w:rsid w:val="003E1F81"/>
    <w:rsid w:val="003F151F"/>
    <w:rsid w:val="003F78EB"/>
    <w:rsid w:val="00411B90"/>
    <w:rsid w:val="00443767"/>
    <w:rsid w:val="00445250"/>
    <w:rsid w:val="00446893"/>
    <w:rsid w:val="0045221C"/>
    <w:rsid w:val="004656B7"/>
    <w:rsid w:val="004744B8"/>
    <w:rsid w:val="00476795"/>
    <w:rsid w:val="00477689"/>
    <w:rsid w:val="004A1344"/>
    <w:rsid w:val="004A1398"/>
    <w:rsid w:val="004B34F6"/>
    <w:rsid w:val="004C10D5"/>
    <w:rsid w:val="004C62B3"/>
    <w:rsid w:val="004C7880"/>
    <w:rsid w:val="004F08C6"/>
    <w:rsid w:val="00520AB7"/>
    <w:rsid w:val="005854BD"/>
    <w:rsid w:val="00595F4A"/>
    <w:rsid w:val="005A533C"/>
    <w:rsid w:val="005A7E31"/>
    <w:rsid w:val="005B4391"/>
    <w:rsid w:val="005C77E1"/>
    <w:rsid w:val="005E2375"/>
    <w:rsid w:val="005F3C27"/>
    <w:rsid w:val="005F3D69"/>
    <w:rsid w:val="005F47EE"/>
    <w:rsid w:val="005F5D30"/>
    <w:rsid w:val="00601345"/>
    <w:rsid w:val="0060543C"/>
    <w:rsid w:val="0061147E"/>
    <w:rsid w:val="006117A3"/>
    <w:rsid w:val="00615B13"/>
    <w:rsid w:val="0061641A"/>
    <w:rsid w:val="0063723D"/>
    <w:rsid w:val="006467B3"/>
    <w:rsid w:val="00657300"/>
    <w:rsid w:val="00657C44"/>
    <w:rsid w:val="0067751F"/>
    <w:rsid w:val="006921C3"/>
    <w:rsid w:val="006940BF"/>
    <w:rsid w:val="006A1417"/>
    <w:rsid w:val="006B4A05"/>
    <w:rsid w:val="006C1330"/>
    <w:rsid w:val="006D338F"/>
    <w:rsid w:val="006E03DD"/>
    <w:rsid w:val="00733849"/>
    <w:rsid w:val="00742AB7"/>
    <w:rsid w:val="0074528D"/>
    <w:rsid w:val="00747FDD"/>
    <w:rsid w:val="00751CAB"/>
    <w:rsid w:val="00767CA2"/>
    <w:rsid w:val="00784138"/>
    <w:rsid w:val="007A7419"/>
    <w:rsid w:val="007D0E33"/>
    <w:rsid w:val="007D5056"/>
    <w:rsid w:val="007F6994"/>
    <w:rsid w:val="008010CB"/>
    <w:rsid w:val="00813846"/>
    <w:rsid w:val="00814E41"/>
    <w:rsid w:val="0086605C"/>
    <w:rsid w:val="00884536"/>
    <w:rsid w:val="008846A1"/>
    <w:rsid w:val="008B3BFA"/>
    <w:rsid w:val="008B65DC"/>
    <w:rsid w:val="008B65FC"/>
    <w:rsid w:val="008C2B85"/>
    <w:rsid w:val="008E2D3F"/>
    <w:rsid w:val="008E4B81"/>
    <w:rsid w:val="008E5E75"/>
    <w:rsid w:val="008F37E0"/>
    <w:rsid w:val="00902EC5"/>
    <w:rsid w:val="00903339"/>
    <w:rsid w:val="009041A8"/>
    <w:rsid w:val="00904251"/>
    <w:rsid w:val="009143F1"/>
    <w:rsid w:val="009619B8"/>
    <w:rsid w:val="009630E3"/>
    <w:rsid w:val="009664CF"/>
    <w:rsid w:val="009A4278"/>
    <w:rsid w:val="009C44DB"/>
    <w:rsid w:val="009F0862"/>
    <w:rsid w:val="00A0086F"/>
    <w:rsid w:val="00A16E96"/>
    <w:rsid w:val="00A5163C"/>
    <w:rsid w:val="00A54C22"/>
    <w:rsid w:val="00A54E38"/>
    <w:rsid w:val="00A74D07"/>
    <w:rsid w:val="00A77E06"/>
    <w:rsid w:val="00AA78D4"/>
    <w:rsid w:val="00AB4657"/>
    <w:rsid w:val="00AB58F8"/>
    <w:rsid w:val="00AC3CFA"/>
    <w:rsid w:val="00AD689D"/>
    <w:rsid w:val="00AF06E4"/>
    <w:rsid w:val="00AF3AF6"/>
    <w:rsid w:val="00B07D91"/>
    <w:rsid w:val="00B16116"/>
    <w:rsid w:val="00B22392"/>
    <w:rsid w:val="00B331C1"/>
    <w:rsid w:val="00B36FAA"/>
    <w:rsid w:val="00B52EF8"/>
    <w:rsid w:val="00B562A1"/>
    <w:rsid w:val="00B75B39"/>
    <w:rsid w:val="00BB09DD"/>
    <w:rsid w:val="00BB574A"/>
    <w:rsid w:val="00BC58F1"/>
    <w:rsid w:val="00C1113B"/>
    <w:rsid w:val="00C70D22"/>
    <w:rsid w:val="00C82520"/>
    <w:rsid w:val="00C8654B"/>
    <w:rsid w:val="00C9259B"/>
    <w:rsid w:val="00CB713D"/>
    <w:rsid w:val="00CF5B3F"/>
    <w:rsid w:val="00D00092"/>
    <w:rsid w:val="00D02F50"/>
    <w:rsid w:val="00D0468D"/>
    <w:rsid w:val="00D12045"/>
    <w:rsid w:val="00D23D81"/>
    <w:rsid w:val="00D33CE1"/>
    <w:rsid w:val="00D37D8A"/>
    <w:rsid w:val="00D55F46"/>
    <w:rsid w:val="00D60578"/>
    <w:rsid w:val="00D676DC"/>
    <w:rsid w:val="00DC2DD8"/>
    <w:rsid w:val="00DF20C2"/>
    <w:rsid w:val="00DF2C31"/>
    <w:rsid w:val="00E025E7"/>
    <w:rsid w:val="00E06BBD"/>
    <w:rsid w:val="00E30980"/>
    <w:rsid w:val="00E35F7E"/>
    <w:rsid w:val="00E46748"/>
    <w:rsid w:val="00E57543"/>
    <w:rsid w:val="00E759CE"/>
    <w:rsid w:val="00E773BD"/>
    <w:rsid w:val="00EA61D8"/>
    <w:rsid w:val="00EB1777"/>
    <w:rsid w:val="00EE20AA"/>
    <w:rsid w:val="00EE3E6E"/>
    <w:rsid w:val="00F01AE9"/>
    <w:rsid w:val="00F07A1F"/>
    <w:rsid w:val="00F13D9A"/>
    <w:rsid w:val="00F273A3"/>
    <w:rsid w:val="00F34358"/>
    <w:rsid w:val="00F415DC"/>
    <w:rsid w:val="00F42635"/>
    <w:rsid w:val="00F46909"/>
    <w:rsid w:val="00F66580"/>
    <w:rsid w:val="00F92DDF"/>
    <w:rsid w:val="00F9697F"/>
    <w:rsid w:val="00F976E7"/>
    <w:rsid w:val="00FB6DAE"/>
    <w:rsid w:val="00FC0754"/>
    <w:rsid w:val="00FC0B96"/>
    <w:rsid w:val="013C55F2"/>
    <w:rsid w:val="01BB0ED4"/>
    <w:rsid w:val="020D7A25"/>
    <w:rsid w:val="035805BE"/>
    <w:rsid w:val="03C87BD1"/>
    <w:rsid w:val="05D16B92"/>
    <w:rsid w:val="07407B57"/>
    <w:rsid w:val="076C03C5"/>
    <w:rsid w:val="090D7EF8"/>
    <w:rsid w:val="0C8E29C5"/>
    <w:rsid w:val="0D9D735A"/>
    <w:rsid w:val="0DFBDA80"/>
    <w:rsid w:val="0E9E36CF"/>
    <w:rsid w:val="0F1F2518"/>
    <w:rsid w:val="0F431450"/>
    <w:rsid w:val="0FB11BB3"/>
    <w:rsid w:val="0FFF989F"/>
    <w:rsid w:val="1075555D"/>
    <w:rsid w:val="11BF3EBE"/>
    <w:rsid w:val="136ADC0A"/>
    <w:rsid w:val="1406202C"/>
    <w:rsid w:val="157F97DB"/>
    <w:rsid w:val="15B9B19B"/>
    <w:rsid w:val="15F6251D"/>
    <w:rsid w:val="171022F3"/>
    <w:rsid w:val="18274827"/>
    <w:rsid w:val="182903F8"/>
    <w:rsid w:val="199C6C85"/>
    <w:rsid w:val="1B2F709E"/>
    <w:rsid w:val="1B3E04B5"/>
    <w:rsid w:val="1BFD5BAE"/>
    <w:rsid w:val="1DB6C40E"/>
    <w:rsid w:val="1DFF0FD8"/>
    <w:rsid w:val="1E776B0A"/>
    <w:rsid w:val="1EB300A2"/>
    <w:rsid w:val="1EEA9B01"/>
    <w:rsid w:val="1EFD2F49"/>
    <w:rsid w:val="1F7D10F6"/>
    <w:rsid w:val="1FBB4B65"/>
    <w:rsid w:val="1FFFD43B"/>
    <w:rsid w:val="2036646C"/>
    <w:rsid w:val="20C82A24"/>
    <w:rsid w:val="20FF96E8"/>
    <w:rsid w:val="229D55C1"/>
    <w:rsid w:val="23371A18"/>
    <w:rsid w:val="26EB0820"/>
    <w:rsid w:val="276D3C40"/>
    <w:rsid w:val="27DE044E"/>
    <w:rsid w:val="282E4BE2"/>
    <w:rsid w:val="285061D2"/>
    <w:rsid w:val="288F38C2"/>
    <w:rsid w:val="28AA3D35"/>
    <w:rsid w:val="29246483"/>
    <w:rsid w:val="29532316"/>
    <w:rsid w:val="2AA1134B"/>
    <w:rsid w:val="2B9344B9"/>
    <w:rsid w:val="2BDB7F86"/>
    <w:rsid w:val="2D064660"/>
    <w:rsid w:val="2EED6077"/>
    <w:rsid w:val="2FB02DED"/>
    <w:rsid w:val="2FB6F1ED"/>
    <w:rsid w:val="2FBF4AD8"/>
    <w:rsid w:val="2FD7DB8A"/>
    <w:rsid w:val="2FF75DEF"/>
    <w:rsid w:val="2FFF7DF7"/>
    <w:rsid w:val="30331C70"/>
    <w:rsid w:val="30544FC6"/>
    <w:rsid w:val="32BD5442"/>
    <w:rsid w:val="33CF4117"/>
    <w:rsid w:val="34D7194C"/>
    <w:rsid w:val="355E0F76"/>
    <w:rsid w:val="36AFCD0A"/>
    <w:rsid w:val="36B41823"/>
    <w:rsid w:val="373F0EEB"/>
    <w:rsid w:val="374BDAA0"/>
    <w:rsid w:val="377A1486"/>
    <w:rsid w:val="37C9479D"/>
    <w:rsid w:val="37D07C8B"/>
    <w:rsid w:val="37F2D402"/>
    <w:rsid w:val="37F80854"/>
    <w:rsid w:val="39FBE08A"/>
    <w:rsid w:val="3ADB6A4C"/>
    <w:rsid w:val="3AFFA16C"/>
    <w:rsid w:val="3B442B44"/>
    <w:rsid w:val="3B740996"/>
    <w:rsid w:val="3B7C1604"/>
    <w:rsid w:val="3B7F5CA1"/>
    <w:rsid w:val="3BDF2075"/>
    <w:rsid w:val="3BFED682"/>
    <w:rsid w:val="3CF7DC54"/>
    <w:rsid w:val="3CFD209A"/>
    <w:rsid w:val="3CFDDBE6"/>
    <w:rsid w:val="3DBEC6E8"/>
    <w:rsid w:val="3DCC6348"/>
    <w:rsid w:val="3DD74A4A"/>
    <w:rsid w:val="3E3EF736"/>
    <w:rsid w:val="3EBAD0DF"/>
    <w:rsid w:val="3ED71F42"/>
    <w:rsid w:val="3EE3E7CD"/>
    <w:rsid w:val="3EF5E3C1"/>
    <w:rsid w:val="3F3F5DB2"/>
    <w:rsid w:val="3F5E7B73"/>
    <w:rsid w:val="3FBE5D23"/>
    <w:rsid w:val="3FC358B4"/>
    <w:rsid w:val="3FDB9E48"/>
    <w:rsid w:val="3FFA40FB"/>
    <w:rsid w:val="3FFE4697"/>
    <w:rsid w:val="419D101D"/>
    <w:rsid w:val="41F6E3B3"/>
    <w:rsid w:val="42177B1F"/>
    <w:rsid w:val="43D06622"/>
    <w:rsid w:val="44D5127D"/>
    <w:rsid w:val="44FD0C7B"/>
    <w:rsid w:val="45866260"/>
    <w:rsid w:val="47BFC4C9"/>
    <w:rsid w:val="47CD97A8"/>
    <w:rsid w:val="47FE2BFB"/>
    <w:rsid w:val="48492382"/>
    <w:rsid w:val="49B30392"/>
    <w:rsid w:val="4AD81C30"/>
    <w:rsid w:val="4CFB44FC"/>
    <w:rsid w:val="4D7D19DF"/>
    <w:rsid w:val="4E4E5514"/>
    <w:rsid w:val="4FD51325"/>
    <w:rsid w:val="4FF43545"/>
    <w:rsid w:val="4FFFA718"/>
    <w:rsid w:val="4FFFB07F"/>
    <w:rsid w:val="50A04E8E"/>
    <w:rsid w:val="51284984"/>
    <w:rsid w:val="51FED7AB"/>
    <w:rsid w:val="52B54A2C"/>
    <w:rsid w:val="52DF96BD"/>
    <w:rsid w:val="539DCDE7"/>
    <w:rsid w:val="543C7F40"/>
    <w:rsid w:val="54CA4FE2"/>
    <w:rsid w:val="552D8DF0"/>
    <w:rsid w:val="57BFA840"/>
    <w:rsid w:val="57E7FF0A"/>
    <w:rsid w:val="57FFA7F0"/>
    <w:rsid w:val="58DB8535"/>
    <w:rsid w:val="5AC22C60"/>
    <w:rsid w:val="5AFF4875"/>
    <w:rsid w:val="5BD462C2"/>
    <w:rsid w:val="5BFFAA55"/>
    <w:rsid w:val="5C9B350B"/>
    <w:rsid w:val="5D7EA438"/>
    <w:rsid w:val="5DBE46AF"/>
    <w:rsid w:val="5EDE93E3"/>
    <w:rsid w:val="5EE5E291"/>
    <w:rsid w:val="5EEDA1E9"/>
    <w:rsid w:val="5EF16158"/>
    <w:rsid w:val="5EFA7CCD"/>
    <w:rsid w:val="5F3A89EC"/>
    <w:rsid w:val="5F5B11F2"/>
    <w:rsid w:val="5F7AFB66"/>
    <w:rsid w:val="5F7E2648"/>
    <w:rsid w:val="5F9BFB5B"/>
    <w:rsid w:val="5FDF9EA8"/>
    <w:rsid w:val="5FED53E9"/>
    <w:rsid w:val="5FFBDBA9"/>
    <w:rsid w:val="63BFD95A"/>
    <w:rsid w:val="63DE7675"/>
    <w:rsid w:val="64FF0119"/>
    <w:rsid w:val="676FADFC"/>
    <w:rsid w:val="677F0885"/>
    <w:rsid w:val="677FC794"/>
    <w:rsid w:val="67BA70BB"/>
    <w:rsid w:val="67DE578C"/>
    <w:rsid w:val="68FEB715"/>
    <w:rsid w:val="69EF1512"/>
    <w:rsid w:val="6A4A2902"/>
    <w:rsid w:val="6ADDC170"/>
    <w:rsid w:val="6B0962E7"/>
    <w:rsid w:val="6B3EFDC5"/>
    <w:rsid w:val="6B5D000F"/>
    <w:rsid w:val="6B5F5A7F"/>
    <w:rsid w:val="6DF59912"/>
    <w:rsid w:val="6DFD7AA6"/>
    <w:rsid w:val="6E773A18"/>
    <w:rsid w:val="6EFFB9EA"/>
    <w:rsid w:val="6F09D45F"/>
    <w:rsid w:val="6F462F2A"/>
    <w:rsid w:val="6F4B686B"/>
    <w:rsid w:val="6FB76E0E"/>
    <w:rsid w:val="6FBB27F8"/>
    <w:rsid w:val="6FDB700B"/>
    <w:rsid w:val="6FDBE622"/>
    <w:rsid w:val="6FEED47F"/>
    <w:rsid w:val="6FF9EC1E"/>
    <w:rsid w:val="6FFF438D"/>
    <w:rsid w:val="707948A5"/>
    <w:rsid w:val="7151709C"/>
    <w:rsid w:val="7167C201"/>
    <w:rsid w:val="72EE4E2A"/>
    <w:rsid w:val="72FFF92E"/>
    <w:rsid w:val="731509E8"/>
    <w:rsid w:val="737C1A1D"/>
    <w:rsid w:val="73DF007C"/>
    <w:rsid w:val="73EE18AA"/>
    <w:rsid w:val="74E34A77"/>
    <w:rsid w:val="74F49EB4"/>
    <w:rsid w:val="74FBBB43"/>
    <w:rsid w:val="75779E9C"/>
    <w:rsid w:val="757DE146"/>
    <w:rsid w:val="75AB2C03"/>
    <w:rsid w:val="75ED5D32"/>
    <w:rsid w:val="767F7D5A"/>
    <w:rsid w:val="76B953C3"/>
    <w:rsid w:val="76FF29EC"/>
    <w:rsid w:val="775FA5F5"/>
    <w:rsid w:val="77BFC366"/>
    <w:rsid w:val="77F0C47E"/>
    <w:rsid w:val="77F2F54A"/>
    <w:rsid w:val="77F6DB28"/>
    <w:rsid w:val="77F74095"/>
    <w:rsid w:val="77F76B7E"/>
    <w:rsid w:val="77FAAA68"/>
    <w:rsid w:val="77FED36B"/>
    <w:rsid w:val="78A07BD9"/>
    <w:rsid w:val="78FE481A"/>
    <w:rsid w:val="791118BD"/>
    <w:rsid w:val="79D79A31"/>
    <w:rsid w:val="7A8D4532"/>
    <w:rsid w:val="7AFFF902"/>
    <w:rsid w:val="7B270C72"/>
    <w:rsid w:val="7B77D929"/>
    <w:rsid w:val="7B7F6D66"/>
    <w:rsid w:val="7B9790CC"/>
    <w:rsid w:val="7BAA76B6"/>
    <w:rsid w:val="7BF8AC7F"/>
    <w:rsid w:val="7CA3E458"/>
    <w:rsid w:val="7CE30075"/>
    <w:rsid w:val="7CEAA57D"/>
    <w:rsid w:val="7D3FDC1B"/>
    <w:rsid w:val="7D5B3639"/>
    <w:rsid w:val="7D9FF943"/>
    <w:rsid w:val="7DB63DA2"/>
    <w:rsid w:val="7DE8598D"/>
    <w:rsid w:val="7DFD686A"/>
    <w:rsid w:val="7DFEFD3E"/>
    <w:rsid w:val="7DFFA3D8"/>
    <w:rsid w:val="7E7F585C"/>
    <w:rsid w:val="7E9FFA07"/>
    <w:rsid w:val="7EB342EC"/>
    <w:rsid w:val="7EDA5EE9"/>
    <w:rsid w:val="7EDFE892"/>
    <w:rsid w:val="7EEBA858"/>
    <w:rsid w:val="7EEE16AD"/>
    <w:rsid w:val="7EEFCD58"/>
    <w:rsid w:val="7EF96311"/>
    <w:rsid w:val="7EFAF087"/>
    <w:rsid w:val="7F05823E"/>
    <w:rsid w:val="7F0D50B3"/>
    <w:rsid w:val="7F1EAED4"/>
    <w:rsid w:val="7F37703B"/>
    <w:rsid w:val="7F392DCA"/>
    <w:rsid w:val="7F5E7FD0"/>
    <w:rsid w:val="7F7D579B"/>
    <w:rsid w:val="7F7D58EC"/>
    <w:rsid w:val="7F82368C"/>
    <w:rsid w:val="7F9AF1F4"/>
    <w:rsid w:val="7F9BE0C6"/>
    <w:rsid w:val="7FB7C67E"/>
    <w:rsid w:val="7FBE56A3"/>
    <w:rsid w:val="7FBFE1AF"/>
    <w:rsid w:val="7FCEC538"/>
    <w:rsid w:val="7FD30DB9"/>
    <w:rsid w:val="7FD6EDA2"/>
    <w:rsid w:val="7FDDC949"/>
    <w:rsid w:val="7FDFD285"/>
    <w:rsid w:val="7FE90644"/>
    <w:rsid w:val="7FECA450"/>
    <w:rsid w:val="7FEEEDD1"/>
    <w:rsid w:val="7FEF80F1"/>
    <w:rsid w:val="7FF77B58"/>
    <w:rsid w:val="7FFB1B18"/>
    <w:rsid w:val="7FFB357F"/>
    <w:rsid w:val="7FFD0247"/>
    <w:rsid w:val="7FFF015C"/>
    <w:rsid w:val="7FFFBB7C"/>
    <w:rsid w:val="7FFFE59C"/>
    <w:rsid w:val="873F2367"/>
    <w:rsid w:val="8CE3016F"/>
    <w:rsid w:val="8CFFBDAB"/>
    <w:rsid w:val="8F2F25D4"/>
    <w:rsid w:val="93F2E36E"/>
    <w:rsid w:val="9D4B5CFF"/>
    <w:rsid w:val="9DFBBF00"/>
    <w:rsid w:val="9EBE769B"/>
    <w:rsid w:val="9F7AEAA1"/>
    <w:rsid w:val="9FA6452A"/>
    <w:rsid w:val="A39F4629"/>
    <w:rsid w:val="A72E0D9A"/>
    <w:rsid w:val="A7E766BB"/>
    <w:rsid w:val="AAFF5DE4"/>
    <w:rsid w:val="AD5F5AE9"/>
    <w:rsid w:val="ADBEC2B0"/>
    <w:rsid w:val="ADFF2B61"/>
    <w:rsid w:val="AF4E65A0"/>
    <w:rsid w:val="AF7B84E9"/>
    <w:rsid w:val="AFDBA861"/>
    <w:rsid w:val="B33FB105"/>
    <w:rsid w:val="B5BDB424"/>
    <w:rsid w:val="B62F3C99"/>
    <w:rsid w:val="B6BFDF42"/>
    <w:rsid w:val="B7D65991"/>
    <w:rsid w:val="B7EF85FB"/>
    <w:rsid w:val="B7FDC13C"/>
    <w:rsid w:val="B89FEAD6"/>
    <w:rsid w:val="B8FD79D1"/>
    <w:rsid w:val="B92EC15E"/>
    <w:rsid w:val="BA7B23C6"/>
    <w:rsid w:val="BB5F82C5"/>
    <w:rsid w:val="BB7FADD4"/>
    <w:rsid w:val="BBF780D2"/>
    <w:rsid w:val="BBFE7C34"/>
    <w:rsid w:val="BC5F7FDB"/>
    <w:rsid w:val="BD289B33"/>
    <w:rsid w:val="BDBE5D2A"/>
    <w:rsid w:val="BDEF469F"/>
    <w:rsid w:val="BDFE28E4"/>
    <w:rsid w:val="BED5F874"/>
    <w:rsid w:val="BF3E0FF6"/>
    <w:rsid w:val="BF3F841F"/>
    <w:rsid w:val="BF3F912E"/>
    <w:rsid w:val="BF5C8930"/>
    <w:rsid w:val="BF5FE9F9"/>
    <w:rsid w:val="BF7BD582"/>
    <w:rsid w:val="BF7FF521"/>
    <w:rsid w:val="BF97F145"/>
    <w:rsid w:val="BFBFB0DB"/>
    <w:rsid w:val="BFEA24CA"/>
    <w:rsid w:val="BFF072AC"/>
    <w:rsid w:val="BFFB4D31"/>
    <w:rsid w:val="BFFE771D"/>
    <w:rsid w:val="C7B7D447"/>
    <w:rsid w:val="C95B88A0"/>
    <w:rsid w:val="CB7D6125"/>
    <w:rsid w:val="CBFC8F54"/>
    <w:rsid w:val="CCFAE9E4"/>
    <w:rsid w:val="CCFC36A4"/>
    <w:rsid w:val="CD3EDDE9"/>
    <w:rsid w:val="CDFF3651"/>
    <w:rsid w:val="CF7EF005"/>
    <w:rsid w:val="CFD0ED0C"/>
    <w:rsid w:val="CFFBD70E"/>
    <w:rsid w:val="CFFD0284"/>
    <w:rsid w:val="CFFF1330"/>
    <w:rsid w:val="CFFF7263"/>
    <w:rsid w:val="D1F710DF"/>
    <w:rsid w:val="D3E6ADD8"/>
    <w:rsid w:val="D3FF8D19"/>
    <w:rsid w:val="D5FD5DA9"/>
    <w:rsid w:val="D66B2F2A"/>
    <w:rsid w:val="D7BF500D"/>
    <w:rsid w:val="D7F748C1"/>
    <w:rsid w:val="D8DEBD0B"/>
    <w:rsid w:val="D97EAECC"/>
    <w:rsid w:val="DA3C256B"/>
    <w:rsid w:val="DAFCCCFA"/>
    <w:rsid w:val="DB6F6BFB"/>
    <w:rsid w:val="DB7B234B"/>
    <w:rsid w:val="DBFB1C9C"/>
    <w:rsid w:val="DD9732BA"/>
    <w:rsid w:val="DDCFB717"/>
    <w:rsid w:val="DDEDC020"/>
    <w:rsid w:val="DDFD1B73"/>
    <w:rsid w:val="DDFF07BA"/>
    <w:rsid w:val="DE330624"/>
    <w:rsid w:val="DE6FB1B1"/>
    <w:rsid w:val="DECF705F"/>
    <w:rsid w:val="DEFACBCF"/>
    <w:rsid w:val="DEFFA66E"/>
    <w:rsid w:val="DF26FA6B"/>
    <w:rsid w:val="DF37C10D"/>
    <w:rsid w:val="DF6D82E5"/>
    <w:rsid w:val="DFAA26FA"/>
    <w:rsid w:val="DFAD8DE8"/>
    <w:rsid w:val="DFBE7C92"/>
    <w:rsid w:val="DFEB4ADC"/>
    <w:rsid w:val="DFEF5BD4"/>
    <w:rsid w:val="DFEFD79F"/>
    <w:rsid w:val="DFF7E9E8"/>
    <w:rsid w:val="DFFCCCAF"/>
    <w:rsid w:val="DFFDB661"/>
    <w:rsid w:val="DFFF011C"/>
    <w:rsid w:val="DFFF0AE5"/>
    <w:rsid w:val="DFFF936E"/>
    <w:rsid w:val="DFFF9B11"/>
    <w:rsid w:val="DFFFFA61"/>
    <w:rsid w:val="E1EF351D"/>
    <w:rsid w:val="E34FD4A1"/>
    <w:rsid w:val="E3D7D0CD"/>
    <w:rsid w:val="E58A58B7"/>
    <w:rsid w:val="E5937FE6"/>
    <w:rsid w:val="E5BB0087"/>
    <w:rsid w:val="E79FB77C"/>
    <w:rsid w:val="E7FF2FC2"/>
    <w:rsid w:val="E947C36A"/>
    <w:rsid w:val="E9F71EFB"/>
    <w:rsid w:val="E9FB2F63"/>
    <w:rsid w:val="EA6D7EC4"/>
    <w:rsid w:val="EB9B2D4F"/>
    <w:rsid w:val="EBFE231B"/>
    <w:rsid w:val="ECAE8611"/>
    <w:rsid w:val="ECBB18EF"/>
    <w:rsid w:val="ECFF0438"/>
    <w:rsid w:val="ECFF9A32"/>
    <w:rsid w:val="EDEF9623"/>
    <w:rsid w:val="EDFEE250"/>
    <w:rsid w:val="EDFF2118"/>
    <w:rsid w:val="EDFF49A1"/>
    <w:rsid w:val="EE97CB52"/>
    <w:rsid w:val="EEF6DF70"/>
    <w:rsid w:val="EF2F8F9B"/>
    <w:rsid w:val="EF6F0072"/>
    <w:rsid w:val="EF772450"/>
    <w:rsid w:val="EF7F3638"/>
    <w:rsid w:val="EFBE0A0B"/>
    <w:rsid w:val="EFBF4541"/>
    <w:rsid w:val="EFD7A8D4"/>
    <w:rsid w:val="EFDBAD89"/>
    <w:rsid w:val="EFDD4BFE"/>
    <w:rsid w:val="EFF76199"/>
    <w:rsid w:val="EFF7845E"/>
    <w:rsid w:val="EFFD5F14"/>
    <w:rsid w:val="EFFF0827"/>
    <w:rsid w:val="F0AF59DC"/>
    <w:rsid w:val="F2BF662E"/>
    <w:rsid w:val="F37818CF"/>
    <w:rsid w:val="F38D895D"/>
    <w:rsid w:val="F3F72D1E"/>
    <w:rsid w:val="F3FF8DDC"/>
    <w:rsid w:val="F4A7C83E"/>
    <w:rsid w:val="F5DCCC56"/>
    <w:rsid w:val="F5FDA3C2"/>
    <w:rsid w:val="F5FFC33A"/>
    <w:rsid w:val="F665B6F6"/>
    <w:rsid w:val="F67FD87A"/>
    <w:rsid w:val="F6BA26BB"/>
    <w:rsid w:val="F6DA190A"/>
    <w:rsid w:val="F6E33671"/>
    <w:rsid w:val="F6FBE038"/>
    <w:rsid w:val="F6FE3909"/>
    <w:rsid w:val="F6FFCCE6"/>
    <w:rsid w:val="F73D5132"/>
    <w:rsid w:val="F73FE6C5"/>
    <w:rsid w:val="F74F3FE6"/>
    <w:rsid w:val="F75F81B2"/>
    <w:rsid w:val="F76C3CC7"/>
    <w:rsid w:val="F77E5F01"/>
    <w:rsid w:val="F77F0885"/>
    <w:rsid w:val="F7A92F93"/>
    <w:rsid w:val="F7B9770C"/>
    <w:rsid w:val="F7DF2B5F"/>
    <w:rsid w:val="F7ECE5A1"/>
    <w:rsid w:val="F7F32454"/>
    <w:rsid w:val="F7FB70A2"/>
    <w:rsid w:val="F7FE1E11"/>
    <w:rsid w:val="F7FF35EB"/>
    <w:rsid w:val="F95F4BAA"/>
    <w:rsid w:val="F9CED6F4"/>
    <w:rsid w:val="F9CF8CB2"/>
    <w:rsid w:val="F9E6A9E3"/>
    <w:rsid w:val="F9FBC241"/>
    <w:rsid w:val="FA5DA317"/>
    <w:rsid w:val="FA761021"/>
    <w:rsid w:val="FA7A06FB"/>
    <w:rsid w:val="FA932485"/>
    <w:rsid w:val="FADD0A35"/>
    <w:rsid w:val="FAF41D82"/>
    <w:rsid w:val="FB3BD7B7"/>
    <w:rsid w:val="FB4FE8A7"/>
    <w:rsid w:val="FB6E079A"/>
    <w:rsid w:val="FB7E255A"/>
    <w:rsid w:val="FB7F4C3F"/>
    <w:rsid w:val="FBAE79DD"/>
    <w:rsid w:val="FBBBDEAA"/>
    <w:rsid w:val="FBF7597B"/>
    <w:rsid w:val="FBFB0FD1"/>
    <w:rsid w:val="FBFC242D"/>
    <w:rsid w:val="FC3BD78F"/>
    <w:rsid w:val="FC9A1EE1"/>
    <w:rsid w:val="FCAA55C4"/>
    <w:rsid w:val="FCD70EB9"/>
    <w:rsid w:val="FCFFD4DA"/>
    <w:rsid w:val="FD338641"/>
    <w:rsid w:val="FD7B30A3"/>
    <w:rsid w:val="FD7EE93C"/>
    <w:rsid w:val="FDABA8D4"/>
    <w:rsid w:val="FDD7A529"/>
    <w:rsid w:val="FDEA2A97"/>
    <w:rsid w:val="FDEA62EE"/>
    <w:rsid w:val="FDEF73B2"/>
    <w:rsid w:val="FDFDBD3D"/>
    <w:rsid w:val="FDFDBE15"/>
    <w:rsid w:val="FDFDFBB4"/>
    <w:rsid w:val="FDFFB2FC"/>
    <w:rsid w:val="FDFFF8E1"/>
    <w:rsid w:val="FE3C8F3B"/>
    <w:rsid w:val="FE3E238D"/>
    <w:rsid w:val="FE734873"/>
    <w:rsid w:val="FE764266"/>
    <w:rsid w:val="FE7B7CB0"/>
    <w:rsid w:val="FEAF2110"/>
    <w:rsid w:val="FEBEA43E"/>
    <w:rsid w:val="FECF4143"/>
    <w:rsid w:val="FED51DD8"/>
    <w:rsid w:val="FEDB4520"/>
    <w:rsid w:val="FEE7C11B"/>
    <w:rsid w:val="FEE99BCD"/>
    <w:rsid w:val="FEEBC550"/>
    <w:rsid w:val="FF07D6F3"/>
    <w:rsid w:val="FF3F1CE0"/>
    <w:rsid w:val="FF46A45C"/>
    <w:rsid w:val="FF6EC81B"/>
    <w:rsid w:val="FF7D8D3C"/>
    <w:rsid w:val="FF7DBA31"/>
    <w:rsid w:val="FFAE0B40"/>
    <w:rsid w:val="FFB69221"/>
    <w:rsid w:val="FFBC963A"/>
    <w:rsid w:val="FFBD3F6E"/>
    <w:rsid w:val="FFD778FE"/>
    <w:rsid w:val="FFDE3489"/>
    <w:rsid w:val="FFDF0E3B"/>
    <w:rsid w:val="FFDF7796"/>
    <w:rsid w:val="FFDF826A"/>
    <w:rsid w:val="FFDFC233"/>
    <w:rsid w:val="FFEB1A70"/>
    <w:rsid w:val="FFEBD815"/>
    <w:rsid w:val="FFEBDCFC"/>
    <w:rsid w:val="FFEE8578"/>
    <w:rsid w:val="FFEF25DB"/>
    <w:rsid w:val="FFF4E568"/>
    <w:rsid w:val="FFF7EE7B"/>
    <w:rsid w:val="FFFDA262"/>
    <w:rsid w:val="FFFEE19C"/>
    <w:rsid w:val="FFFF2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ody Text"/>
    <w:basedOn w:val="1"/>
    <w:next w:val="1"/>
    <w:qFormat/>
    <w:uiPriority w:val="0"/>
    <w:pPr>
      <w:jc w:val="center"/>
    </w:pPr>
    <w:rPr>
      <w:rFonts w:eastAsia="华文中宋"/>
      <w:sz w:val="36"/>
    </w:rPr>
  </w:style>
  <w:style w:type="paragraph" w:styleId="4">
    <w:name w:val="footer"/>
    <w:basedOn w:val="1"/>
    <w:next w:val="5"/>
    <w:link w:val="13"/>
    <w:unhideWhenUsed/>
    <w:qFormat/>
    <w:uiPriority w:val="99"/>
    <w:pPr>
      <w:tabs>
        <w:tab w:val="center" w:pos="4153"/>
        <w:tab w:val="right" w:pos="8306"/>
      </w:tabs>
      <w:snapToGrid w:val="0"/>
      <w:jc w:val="left"/>
    </w:pPr>
    <w:rPr>
      <w:sz w:val="18"/>
      <w:szCs w:val="18"/>
    </w:rPr>
  </w:style>
  <w:style w:type="paragraph" w:customStyle="1" w:styleId="5">
    <w:name w:val="索引 51"/>
    <w:basedOn w:val="1"/>
    <w:next w:val="1"/>
    <w:qFormat/>
    <w:uiPriority w:val="0"/>
    <w:pPr>
      <w:ind w:left="1680"/>
    </w:p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Default"/>
    <w:next w:val="1"/>
    <w:qFormat/>
    <w:uiPriority w:val="99"/>
    <w:pPr>
      <w:widowControl w:val="0"/>
      <w:autoSpaceDE w:val="0"/>
      <w:autoSpaceDN w:val="0"/>
      <w:adjustRightInd w:val="0"/>
    </w:pPr>
    <w:rPr>
      <w:rFonts w:ascii="方正黑体_GBK" w:hAnsi="Calibri" w:eastAsia="方正黑体_GBK" w:cs="Times New Roman"/>
      <w:color w:val="000000"/>
      <w:sz w:val="24"/>
      <w:szCs w:val="22"/>
      <w:lang w:val="en-US" w:eastAsia="zh-CN" w:bidi="ar-SA"/>
    </w:rPr>
  </w:style>
  <w:style w:type="character" w:customStyle="1" w:styleId="12">
    <w:name w:val="页眉 字符"/>
    <w:basedOn w:val="9"/>
    <w:link w:val="6"/>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表签"/>
    <w:basedOn w:val="1"/>
    <w:qFormat/>
    <w:uiPriority w:val="0"/>
    <w:pPr>
      <w:spacing w:before="50" w:beforeLines="50" w:after="50" w:afterLines="50" w:line="360" w:lineRule="auto"/>
      <w:jc w:val="center"/>
    </w:pPr>
    <w:rPr>
      <w:rFonts w:ascii="Times New Roman" w:hAnsi="Times New Roman" w:eastAsia="黑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12067</Words>
  <Characters>12981</Characters>
  <Lines>21</Lines>
  <Paragraphs>5</Paragraphs>
  <TotalTime>4</TotalTime>
  <ScaleCrop>false</ScaleCrop>
  <LinksUpToDate>false</LinksUpToDate>
  <CharactersWithSpaces>13209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2022-04-07T14:10:00Z</dcterms:created>
  <dc:creator>子峰</dc:creator>
  <cp:lastModifiedBy>user</cp:lastModifiedBy>
  <dcterms:modified xsi:type="dcterms:W3CDTF">2022-07-11T18:03:34Z</dcterms:modified>
  <dc:title>重庆市应急管理局</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F19814F800114BE0ABAB26D7378E182D</vt:lpwstr>
  </property>
</Properties>
</file>