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简体" w:hAnsi="仿宋" w:eastAsia="方正小标宋简体" w:cs="方正仿宋简体"/>
          <w:sz w:val="32"/>
          <w:szCs w:val="32"/>
        </w:rPr>
      </w:pPr>
      <w:r>
        <w:rPr>
          <w:rFonts w:hint="eastAsia" w:ascii="方正小标宋简体" w:hAnsi="仿宋" w:eastAsia="方正小标宋简体" w:cs="方正仿宋简体"/>
          <w:sz w:val="32"/>
          <w:szCs w:val="32"/>
        </w:rPr>
        <w:t>重庆市</w:t>
      </w:r>
      <w:r>
        <w:rPr>
          <w:rFonts w:eastAsia="方正小标宋简体"/>
          <w:sz w:val="32"/>
          <w:szCs w:val="32"/>
        </w:rPr>
        <w:t>泳装</w:t>
      </w:r>
      <w:r>
        <w:rPr>
          <w:rFonts w:hint="eastAsia" w:ascii="方正小标宋简体" w:hAnsi="仿宋" w:eastAsia="方正小标宋简体" w:cs="方正仿宋简体"/>
          <w:sz w:val="32"/>
          <w:szCs w:val="32"/>
        </w:rPr>
        <w:t>产品质量监督抽查实施细则</w:t>
      </w:r>
    </w:p>
    <w:p>
      <w:pPr>
        <w:rPr>
          <w:rFonts w:ascii="方正小标宋简体" w:hAnsi="仿宋" w:eastAsia="方正小标宋简体" w:cs="方正仿宋简体"/>
          <w:sz w:val="32"/>
          <w:szCs w:val="32"/>
        </w:rPr>
      </w:pPr>
    </w:p>
    <w:p>
      <w:pPr>
        <w:spacing w:line="440" w:lineRule="exact"/>
        <w:rPr>
          <w:rFonts w:ascii="宋体" w:hAnsi="宋体" w:eastAsia="宋体" w:cs="宋体"/>
          <w:b/>
          <w:bCs/>
          <w:szCs w:val="21"/>
        </w:rPr>
      </w:pPr>
      <w:r>
        <w:rPr>
          <w:rFonts w:hint="eastAsia" w:ascii="宋体" w:hAnsi="宋体" w:eastAsia="宋体" w:cs="宋体"/>
          <w:b/>
          <w:bCs/>
          <w:szCs w:val="21"/>
        </w:rPr>
        <w:t>1 抽样方法</w:t>
      </w:r>
    </w:p>
    <w:p>
      <w:pPr>
        <w:snapToGrid w:val="0"/>
        <w:spacing w:line="440" w:lineRule="exact"/>
        <w:ind w:firstLine="420" w:firstLineChars="200"/>
        <w:rPr>
          <w:szCs w:val="21"/>
        </w:rPr>
      </w:pPr>
      <w:r>
        <w:rPr>
          <w:rFonts w:hint="eastAsia" w:ascii="宋体" w:hAnsi="宋体"/>
          <w:szCs w:val="21"/>
        </w:rPr>
        <w:t>在生产者、销售者的待销产品中随机抽取有产品质量检验合格证明或者以其他形式表明合格的、近期生产的产品</w:t>
      </w:r>
      <w:r>
        <w:rPr>
          <w:rFonts w:hint="eastAsia"/>
          <w:szCs w:val="21"/>
        </w:rPr>
        <w:t>。</w:t>
      </w:r>
    </w:p>
    <w:p>
      <w:pPr>
        <w:snapToGrid w:val="0"/>
        <w:spacing w:line="440" w:lineRule="exact"/>
        <w:ind w:firstLine="420" w:firstLineChars="200"/>
        <w:rPr>
          <w:rFonts w:ascii="宋体" w:hAnsi="宋体"/>
          <w:szCs w:val="21"/>
        </w:rPr>
      </w:pPr>
      <w:r>
        <w:rPr>
          <w:rFonts w:hint="eastAsia" w:ascii="宋体" w:hAnsi="宋体"/>
          <w:szCs w:val="21"/>
        </w:rPr>
        <w:t>抽查样品基数满足抽样数量即可。</w:t>
      </w:r>
    </w:p>
    <w:p>
      <w:pPr>
        <w:adjustRightInd w:val="0"/>
        <w:spacing w:line="440" w:lineRule="exact"/>
        <w:ind w:firstLine="420" w:firstLineChars="200"/>
        <w:rPr>
          <w:szCs w:val="21"/>
        </w:rPr>
      </w:pPr>
      <w:r>
        <w:rPr>
          <w:szCs w:val="21"/>
        </w:rPr>
        <w:t>抽取</w:t>
      </w:r>
      <w:r>
        <w:rPr>
          <w:rFonts w:hint="eastAsia"/>
          <w:szCs w:val="21"/>
        </w:rPr>
        <w:t>同一生产者按照同一标准生产的同一商标、</w:t>
      </w:r>
      <w:r>
        <w:rPr>
          <w:szCs w:val="21"/>
        </w:rPr>
        <w:t>同一款式（货/款号）、同一花型颜色</w:t>
      </w:r>
      <w:r>
        <w:rPr>
          <w:rFonts w:hint="eastAsia"/>
          <w:szCs w:val="21"/>
        </w:rPr>
        <w:t>及材料的产品。</w:t>
      </w:r>
    </w:p>
    <w:p>
      <w:pPr>
        <w:snapToGrid w:val="0"/>
        <w:spacing w:line="440" w:lineRule="exact"/>
        <w:ind w:firstLine="420" w:firstLineChars="200"/>
        <w:rPr>
          <w:szCs w:val="21"/>
        </w:rPr>
      </w:pPr>
      <w:r>
        <w:rPr>
          <w:rFonts w:hint="eastAsia" w:ascii="Times New Roman" w:hAnsi="Times New Roman" w:eastAsia="宋体" w:cs="Times New Roman"/>
          <w:szCs w:val="21"/>
        </w:rPr>
        <w:t>每批次连体泳衣产品抽取样品</w:t>
      </w:r>
      <w:r>
        <w:rPr>
          <w:rFonts w:hint="eastAsia" w:cs="Times New Roman"/>
          <w:szCs w:val="21"/>
        </w:rPr>
        <w:t>2</w:t>
      </w:r>
      <w:r>
        <w:rPr>
          <w:rFonts w:hint="eastAsia" w:ascii="Times New Roman" w:hAnsi="Times New Roman" w:eastAsia="宋体" w:cs="Times New Roman"/>
          <w:szCs w:val="21"/>
        </w:rPr>
        <w:t>件/条/套，其中</w:t>
      </w:r>
      <w:r>
        <w:rPr>
          <w:rFonts w:hint="eastAsia" w:cs="Times New Roman"/>
          <w:szCs w:val="21"/>
        </w:rPr>
        <w:t>1</w:t>
      </w:r>
      <w:r>
        <w:rPr>
          <w:rFonts w:hint="eastAsia" w:ascii="Times New Roman" w:hAnsi="Times New Roman" w:eastAsia="宋体" w:cs="Times New Roman"/>
          <w:szCs w:val="21"/>
        </w:rPr>
        <w:t>件/条/套作为检验样品，1件/条/套作为备用样品。每批次分体</w:t>
      </w:r>
      <w:r>
        <w:rPr>
          <w:szCs w:val="21"/>
        </w:rPr>
        <w:t>泳衣产品或泳裤产品抽取样品</w:t>
      </w:r>
      <w:r>
        <w:rPr>
          <w:rFonts w:hint="eastAsia"/>
          <w:szCs w:val="21"/>
        </w:rPr>
        <w:t>4</w:t>
      </w:r>
      <w:r>
        <w:rPr>
          <w:szCs w:val="21"/>
        </w:rPr>
        <w:t>件/条/套，其</w:t>
      </w:r>
      <w:r>
        <w:rPr>
          <w:rFonts w:hint="eastAsia"/>
          <w:szCs w:val="21"/>
        </w:rPr>
        <w:t>3</w:t>
      </w:r>
      <w:r>
        <w:rPr>
          <w:szCs w:val="21"/>
        </w:rPr>
        <w:t>件/条/套作为检验样品，1件/条/套作为备用样品。</w:t>
      </w:r>
      <w:r>
        <w:rPr>
          <w:rFonts w:hint="eastAsia" w:ascii="宋体" w:hAnsi="宋体"/>
          <w:szCs w:val="21"/>
        </w:rPr>
        <w:t>如样品过小，可适当增加抽样数量，但不得超过检验、复检的合理需要。</w:t>
      </w:r>
    </w:p>
    <w:p>
      <w:pPr>
        <w:snapToGrid w:val="0"/>
        <w:spacing w:line="440" w:lineRule="exact"/>
        <w:ind w:firstLine="420" w:firstLineChars="200"/>
        <w:rPr>
          <w:szCs w:val="21"/>
        </w:rPr>
      </w:pPr>
      <w:r>
        <w:rPr>
          <w:rFonts w:hint="eastAsia"/>
          <w:szCs w:val="21"/>
        </w:rPr>
        <w:t>随机数抽样，随机数一般可使用随机数表、随机数骰子或扑克牌等方法产生。</w:t>
      </w:r>
    </w:p>
    <w:p>
      <w:pPr>
        <w:spacing w:line="440" w:lineRule="exact"/>
        <w:rPr>
          <w:rFonts w:ascii="宋体" w:hAnsi="宋体" w:eastAsia="宋体" w:cs="宋体"/>
          <w:b/>
          <w:bCs/>
          <w:szCs w:val="21"/>
        </w:rPr>
      </w:pPr>
      <w:r>
        <w:rPr>
          <w:rFonts w:hint="eastAsia" w:ascii="宋体" w:hAnsi="宋体" w:eastAsia="宋体" w:cs="宋体"/>
          <w:b/>
          <w:bCs/>
          <w:szCs w:val="21"/>
        </w:rPr>
        <w:t>2 检验依据</w:t>
      </w:r>
    </w:p>
    <w:p>
      <w:pPr>
        <w:spacing w:line="360" w:lineRule="auto"/>
        <w:ind w:left="420" w:hanging="420" w:hangingChars="200"/>
        <w:contextualSpacing/>
        <w:jc w:val="center"/>
        <w:rPr>
          <w:rFonts w:ascii="宋体" w:hAnsi="宋体"/>
          <w:szCs w:val="21"/>
        </w:rPr>
      </w:pPr>
      <w:r>
        <w:rPr>
          <w:rFonts w:hint="eastAsia" w:ascii="宋体" w:hAnsi="宋体"/>
          <w:szCs w:val="21"/>
        </w:rPr>
        <w:t>表1检验项目</w:t>
      </w:r>
    </w:p>
    <w:tbl>
      <w:tblPr>
        <w:tblStyle w:val="4"/>
        <w:tblW w:w="84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699"/>
        <w:gridCol w:w="2974"/>
        <w:gridCol w:w="2004"/>
        <w:gridCol w:w="27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3" w:hRule="atLeast"/>
          <w:jc w:val="center"/>
        </w:trPr>
        <w:tc>
          <w:tcPr>
            <w:tcW w:w="699"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ascii="Times New Roman" w:hAnsi="Times New Roman" w:eastAsia="宋体" w:cs="Times New Roman"/>
                <w:szCs w:val="21"/>
              </w:rPr>
              <w:t>序号</w:t>
            </w:r>
          </w:p>
        </w:tc>
        <w:tc>
          <w:tcPr>
            <w:tcW w:w="2974"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ascii="Times New Roman" w:hAnsi="Times New Roman" w:eastAsia="宋体" w:cs="Times New Roman"/>
                <w:szCs w:val="21"/>
              </w:rPr>
              <w:t>检验项目</w:t>
            </w:r>
          </w:p>
        </w:tc>
        <w:tc>
          <w:tcPr>
            <w:tcW w:w="2004"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ascii="Times New Roman" w:hAnsi="Times New Roman" w:eastAsia="宋体" w:cs="Times New Roman"/>
                <w:szCs w:val="21"/>
              </w:rPr>
              <w:t>判定依据</w:t>
            </w:r>
          </w:p>
        </w:tc>
        <w:tc>
          <w:tcPr>
            <w:tcW w:w="2766"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ascii="Times New Roman" w:hAnsi="Times New Roman" w:eastAsia="宋体" w:cs="Times New Roman"/>
                <w:szCs w:val="21"/>
              </w:rPr>
              <w:t>检验方法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jc w:val="center"/>
        </w:trPr>
        <w:tc>
          <w:tcPr>
            <w:tcW w:w="699"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1</w:t>
            </w:r>
          </w:p>
        </w:tc>
        <w:tc>
          <w:tcPr>
            <w:tcW w:w="2974"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纤维含量</w:t>
            </w:r>
          </w:p>
        </w:tc>
        <w:tc>
          <w:tcPr>
            <w:tcW w:w="2004"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GB/T 29862-2013</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相应产品标准</w:t>
            </w:r>
          </w:p>
        </w:tc>
        <w:tc>
          <w:tcPr>
            <w:tcW w:w="2766"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FZ/T 01057.1-2007</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FZ/T 01057.2-2007</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FZ/T 01057.3-2007</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FZ/T 01057.4-2007</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GB/T 2910.1-2009</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GB/T 2910.2-2009</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GB/T 2910.3-2009</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GB/T 2910.4-2009</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GB/T 2910.6-2009</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GB/T 2910.7-2009</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GB/T 2910.8-2009</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GB/T 2910.11-2009</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GB/T 2910.12-2009</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GB/T 2910.18-2009</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GB/T 2910.20-2009</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GB/T 2910.22-2009</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GB/T 2910.101-2009</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FZ/T 01101-2008</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FZ/T 01112-2012</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FZ/T 01026-2017</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FZ/T 01095-2002</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FZ/T 30003-2009</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GB/T 16988-2013等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19" w:hRule="atLeast"/>
          <w:jc w:val="center"/>
        </w:trPr>
        <w:tc>
          <w:tcPr>
            <w:tcW w:w="699"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2</w:t>
            </w:r>
          </w:p>
        </w:tc>
        <w:tc>
          <w:tcPr>
            <w:tcW w:w="2974"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甲醛含量</w:t>
            </w:r>
          </w:p>
        </w:tc>
        <w:tc>
          <w:tcPr>
            <w:tcW w:w="2004"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GB 18401-2010</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相应产品标准</w:t>
            </w:r>
          </w:p>
        </w:tc>
        <w:tc>
          <w:tcPr>
            <w:tcW w:w="2766"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ascii="Times New Roman" w:hAnsi="Times New Roman" w:eastAsia="宋体" w:cs="Times New Roman"/>
                <w:szCs w:val="21"/>
              </w:rPr>
              <w:t>GB/T 2912.1-2009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17" w:hRule="atLeast"/>
          <w:jc w:val="center"/>
        </w:trPr>
        <w:tc>
          <w:tcPr>
            <w:tcW w:w="699"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3</w:t>
            </w:r>
          </w:p>
        </w:tc>
        <w:tc>
          <w:tcPr>
            <w:tcW w:w="2974"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pH值</w:t>
            </w:r>
          </w:p>
        </w:tc>
        <w:tc>
          <w:tcPr>
            <w:tcW w:w="2004"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GB 18401-2010</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相应产品标准</w:t>
            </w:r>
          </w:p>
        </w:tc>
        <w:tc>
          <w:tcPr>
            <w:tcW w:w="2766"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ascii="Times New Roman" w:hAnsi="Times New Roman" w:eastAsia="宋体" w:cs="Times New Roman"/>
                <w:szCs w:val="21"/>
              </w:rPr>
              <w:t>GB/T 7573-2009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19" w:hRule="atLeast"/>
          <w:jc w:val="center"/>
        </w:trPr>
        <w:tc>
          <w:tcPr>
            <w:tcW w:w="699"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4</w:t>
            </w:r>
          </w:p>
        </w:tc>
        <w:tc>
          <w:tcPr>
            <w:tcW w:w="2974"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耐水色牢度②</w:t>
            </w:r>
          </w:p>
        </w:tc>
        <w:tc>
          <w:tcPr>
            <w:tcW w:w="2004"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GB 18401-2010</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相应产品标准</w:t>
            </w:r>
          </w:p>
        </w:tc>
        <w:tc>
          <w:tcPr>
            <w:tcW w:w="2766"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ascii="Times New Roman" w:hAnsi="Times New Roman" w:eastAsia="宋体" w:cs="Times New Roman"/>
                <w:szCs w:val="21"/>
              </w:rPr>
              <w:t>GB/T 5713-2013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3" w:hRule="atLeast"/>
          <w:jc w:val="center"/>
        </w:trPr>
        <w:tc>
          <w:tcPr>
            <w:tcW w:w="699"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5</w:t>
            </w:r>
          </w:p>
        </w:tc>
        <w:tc>
          <w:tcPr>
            <w:tcW w:w="2974"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耐汗渍色牢度②</w:t>
            </w:r>
          </w:p>
        </w:tc>
        <w:tc>
          <w:tcPr>
            <w:tcW w:w="2004"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GB 18401-2010</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相应产品标准</w:t>
            </w:r>
          </w:p>
        </w:tc>
        <w:tc>
          <w:tcPr>
            <w:tcW w:w="2766"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ascii="Times New Roman" w:hAnsi="Times New Roman" w:eastAsia="宋体" w:cs="Times New Roman"/>
                <w:szCs w:val="21"/>
              </w:rPr>
              <w:t>GB/T 3922-2013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3" w:hRule="atLeast"/>
          <w:jc w:val="center"/>
        </w:trPr>
        <w:tc>
          <w:tcPr>
            <w:tcW w:w="699"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6</w:t>
            </w:r>
          </w:p>
        </w:tc>
        <w:tc>
          <w:tcPr>
            <w:tcW w:w="2974"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耐摩擦色牢度②</w:t>
            </w:r>
          </w:p>
        </w:tc>
        <w:tc>
          <w:tcPr>
            <w:tcW w:w="2004"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GB 18401-2010</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相应产品标准</w:t>
            </w:r>
          </w:p>
        </w:tc>
        <w:tc>
          <w:tcPr>
            <w:tcW w:w="2766"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GB/T 3920-2008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3" w:hRule="atLeast"/>
          <w:jc w:val="center"/>
        </w:trPr>
        <w:tc>
          <w:tcPr>
            <w:tcW w:w="699"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7</w:t>
            </w:r>
          </w:p>
        </w:tc>
        <w:tc>
          <w:tcPr>
            <w:tcW w:w="2974"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可分解致癌芳香胺染料①</w:t>
            </w:r>
          </w:p>
        </w:tc>
        <w:tc>
          <w:tcPr>
            <w:tcW w:w="2004"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GB 18401-2010</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相应产品标准</w:t>
            </w:r>
          </w:p>
        </w:tc>
        <w:tc>
          <w:tcPr>
            <w:tcW w:w="2766" w:type="dxa"/>
            <w:tcMar>
              <w:top w:w="0" w:type="dxa"/>
              <w:left w:w="70" w:type="dxa"/>
              <w:bottom w:w="0" w:type="dxa"/>
              <w:right w:w="70" w:type="dxa"/>
            </w:tcMar>
            <w:vAlign w:val="center"/>
          </w:tcPr>
          <w:p>
            <w:pPr>
              <w:snapToGrid w:val="0"/>
              <w:jc w:val="center"/>
              <w:rPr>
                <w:rFonts w:ascii="Times New Roman" w:hAnsi="Times New Roman" w:eastAsia="宋体" w:cs="Times New Roman"/>
                <w:szCs w:val="21"/>
              </w:rPr>
            </w:pPr>
            <w:r>
              <w:rPr>
                <w:rFonts w:hint="eastAsia" w:ascii="Times New Roman" w:hAnsi="Times New Roman" w:eastAsia="宋体" w:cs="Times New Roman"/>
                <w:szCs w:val="21"/>
              </w:rPr>
              <w:t>GB/T 17592-2011</w:t>
            </w:r>
          </w:p>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GB/T 23344-2009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3" w:hRule="atLeast"/>
          <w:jc w:val="center"/>
        </w:trPr>
        <w:tc>
          <w:tcPr>
            <w:tcW w:w="699"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8</w:t>
            </w:r>
          </w:p>
        </w:tc>
        <w:tc>
          <w:tcPr>
            <w:tcW w:w="2974"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耐氯化水（游泳池水）色牢度②</w:t>
            </w:r>
          </w:p>
        </w:tc>
        <w:tc>
          <w:tcPr>
            <w:tcW w:w="2004"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相应产品标准</w:t>
            </w:r>
          </w:p>
        </w:tc>
        <w:tc>
          <w:tcPr>
            <w:tcW w:w="2766" w:type="dxa"/>
            <w:tcMar>
              <w:top w:w="0" w:type="dxa"/>
              <w:left w:w="70" w:type="dxa"/>
              <w:bottom w:w="0" w:type="dxa"/>
              <w:right w:w="70" w:type="dxa"/>
            </w:tcMar>
            <w:vAlign w:val="center"/>
          </w:tcPr>
          <w:p>
            <w:pPr>
              <w:spacing w:line="288" w:lineRule="auto"/>
              <w:jc w:val="center"/>
              <w:rPr>
                <w:rFonts w:ascii="Times New Roman" w:hAnsi="Times New Roman" w:eastAsia="宋体" w:cs="Times New Roman"/>
                <w:szCs w:val="21"/>
              </w:rPr>
            </w:pPr>
            <w:r>
              <w:rPr>
                <w:rFonts w:hint="eastAsia" w:ascii="Times New Roman" w:hAnsi="Times New Roman" w:eastAsia="宋体" w:cs="Times New Roman"/>
                <w:szCs w:val="21"/>
              </w:rPr>
              <w:t>GB/T 8433-2013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3" w:hRule="atLeast"/>
          <w:jc w:val="center"/>
        </w:trPr>
        <w:tc>
          <w:tcPr>
            <w:tcW w:w="8443" w:type="dxa"/>
            <w:gridSpan w:val="4"/>
            <w:tcMar>
              <w:top w:w="0" w:type="dxa"/>
              <w:left w:w="70" w:type="dxa"/>
              <w:bottom w:w="0" w:type="dxa"/>
              <w:right w:w="70" w:type="dxa"/>
            </w:tcMar>
            <w:vAlign w:val="center"/>
          </w:tcPr>
          <w:p>
            <w:pPr>
              <w:snapToGrid w:val="0"/>
              <w:rPr>
                <w:rFonts w:ascii="Times New Roman" w:hAnsi="Times New Roman" w:eastAsia="宋体" w:cs="Times New Roman"/>
                <w:szCs w:val="21"/>
              </w:rPr>
            </w:pPr>
            <w:r>
              <w:rPr>
                <w:rFonts w:ascii="Times New Roman" w:hAnsi="Times New Roman" w:eastAsia="宋体" w:cs="Times New Roman"/>
                <w:szCs w:val="21"/>
              </w:rPr>
              <w:t>备注：</w:t>
            </w:r>
          </w:p>
          <w:p>
            <w:pPr>
              <w:snapToGrid w:val="0"/>
              <w:rPr>
                <w:rFonts w:ascii="宋体" w:hAnsi="宋体" w:eastAsia="宋体"/>
                <w:szCs w:val="21"/>
              </w:rPr>
            </w:pPr>
            <w:r>
              <w:rPr>
                <w:rFonts w:hint="eastAsia" w:cs="Times New Roman"/>
                <w:szCs w:val="21"/>
              </w:rPr>
              <w:t>A、</w:t>
            </w:r>
            <w:r>
              <w:rPr>
                <w:rFonts w:hint="eastAsia" w:ascii="Times New Roman" w:hAnsi="Times New Roman" w:eastAsia="宋体" w:cs="Times New Roman"/>
                <w:szCs w:val="21"/>
              </w:rPr>
              <w:t>①</w:t>
            </w:r>
            <w:r>
              <w:rPr>
                <w:rFonts w:hint="eastAsia" w:ascii="宋体" w:hAnsi="宋体" w:eastAsia="宋体"/>
                <w:color w:val="000000"/>
                <w:szCs w:val="21"/>
              </w:rPr>
              <w:t>纺织品可分解致癌芳香胺染料检测采用GC/MS定性和定量，出现阳性结果时用HPLC/DAD进一步确认</w:t>
            </w:r>
            <w:r>
              <w:rPr>
                <w:rFonts w:hint="eastAsia" w:cs="Times New Roman"/>
                <w:szCs w:val="21"/>
              </w:rPr>
              <w:t>；</w:t>
            </w:r>
            <w:r>
              <w:rPr>
                <w:rFonts w:hint="eastAsia" w:ascii="宋体" w:hAnsi="宋体" w:eastAsia="宋体"/>
                <w:szCs w:val="21"/>
              </w:rPr>
              <w:t>②白色产品不检测；</w:t>
            </w:r>
          </w:p>
          <w:p>
            <w:pPr>
              <w:jc w:val="left"/>
              <w:rPr>
                <w:rFonts w:asciiTheme="minorEastAsia" w:hAnsiTheme="minorEastAsia" w:cstheme="minorEastAsia"/>
                <w:szCs w:val="21"/>
              </w:rPr>
            </w:pPr>
            <w:r>
              <w:rPr>
                <w:rFonts w:hint="eastAsia" w:asciiTheme="minorEastAsia" w:hAnsiTheme="minorEastAsia" w:cstheme="minorEastAsia"/>
                <w:szCs w:val="21"/>
              </w:rPr>
              <w:t>B、若样品量不能满足所有试验要求，按照纤维含量、可分解致癌芳香胺染料、甲醛含量、pH值、耐汗渍色牢度、耐摩擦色牢度、耐水色牢度、耐氯化水（游泳池水）色牢度的取样顺序进行检测；</w:t>
            </w:r>
          </w:p>
          <w:p>
            <w:pPr>
              <w:spacing w:line="288" w:lineRule="auto"/>
              <w:rPr>
                <w:rFonts w:ascii="Times New Roman" w:hAnsi="Times New Roman" w:eastAsia="宋体" w:cs="Times New Roman"/>
                <w:szCs w:val="21"/>
              </w:rPr>
            </w:pPr>
            <w:r>
              <w:rPr>
                <w:rFonts w:hint="eastAsia" w:ascii="宋体" w:hAnsi="宋体"/>
                <w:szCs w:val="21"/>
              </w:rPr>
              <w:t>C、当样品不能满足某个试验项目要求时，该项目不予考核。</w:t>
            </w:r>
          </w:p>
        </w:tc>
      </w:tr>
    </w:tbl>
    <w:p>
      <w:pPr>
        <w:snapToGrid w:val="0"/>
        <w:spacing w:line="440" w:lineRule="exact"/>
        <w:ind w:firstLine="420" w:firstLineChars="200"/>
        <w:rPr>
          <w:rFonts w:ascii="宋体" w:hAnsi="宋体"/>
          <w:szCs w:val="21"/>
        </w:rPr>
      </w:pPr>
      <w:r>
        <w:rPr>
          <w:rFonts w:hint="eastAsia" w:ascii="宋体" w:hAnsi="宋体"/>
          <w:szCs w:val="21"/>
        </w:rPr>
        <w:t>凡是注日期的文件，其随后所有的修改单（不包括勘误的内容）或修订版不适用于本细则，不注日期的文件，按照产品明示质量要求执行。</w:t>
      </w:r>
    </w:p>
    <w:p>
      <w:pPr>
        <w:spacing w:line="440" w:lineRule="exact"/>
        <w:rPr>
          <w:rFonts w:asciiTheme="minorEastAsia" w:hAnsiTheme="minorEastAsia" w:cstheme="minorEastAsia"/>
          <w:b/>
          <w:bCs/>
          <w:szCs w:val="21"/>
        </w:rPr>
      </w:pPr>
      <w:r>
        <w:rPr>
          <w:rFonts w:hint="eastAsia" w:asciiTheme="minorEastAsia" w:hAnsiTheme="minorEastAsia" w:cstheme="minorEastAsia"/>
          <w:b/>
          <w:bCs/>
          <w:szCs w:val="21"/>
        </w:rPr>
        <w:t>3 判定规则</w:t>
      </w:r>
    </w:p>
    <w:p>
      <w:pPr>
        <w:spacing w:line="440" w:lineRule="exact"/>
        <w:rPr>
          <w:rFonts w:ascii="宋体" w:hAnsi="宋体"/>
          <w:b/>
          <w:bCs/>
          <w:szCs w:val="21"/>
        </w:rPr>
      </w:pPr>
      <w:r>
        <w:rPr>
          <w:rFonts w:hint="eastAsia" w:ascii="宋体" w:hAnsi="宋体"/>
          <w:b/>
          <w:bCs/>
          <w:szCs w:val="21"/>
        </w:rPr>
        <w:t>3.1依据标准</w:t>
      </w:r>
    </w:p>
    <w:p>
      <w:pPr>
        <w:spacing w:line="360" w:lineRule="auto"/>
        <w:ind w:firstLine="420" w:firstLineChars="200"/>
        <w:contextualSpacing/>
        <w:rPr>
          <w:szCs w:val="21"/>
        </w:rPr>
      </w:pPr>
      <w:r>
        <w:rPr>
          <w:rFonts w:hint="eastAsia"/>
          <w:szCs w:val="21"/>
        </w:rPr>
        <w:t xml:space="preserve">GB 18401-2010 国家纺织产品基本安全技术规范 </w:t>
      </w:r>
    </w:p>
    <w:p>
      <w:pPr>
        <w:spacing w:line="360" w:lineRule="auto"/>
        <w:ind w:firstLine="420" w:firstLineChars="200"/>
        <w:contextualSpacing/>
        <w:rPr>
          <w:szCs w:val="21"/>
        </w:rPr>
      </w:pPr>
      <w:r>
        <w:rPr>
          <w:rFonts w:hint="eastAsia"/>
          <w:szCs w:val="21"/>
        </w:rPr>
        <w:t>GB/T 5296.4-2012 消费品使用说明 第4部分：纺织品和服装</w:t>
      </w:r>
    </w:p>
    <w:p>
      <w:pPr>
        <w:spacing w:line="360" w:lineRule="auto"/>
        <w:ind w:firstLine="420" w:firstLineChars="200"/>
        <w:contextualSpacing/>
        <w:rPr>
          <w:szCs w:val="21"/>
        </w:rPr>
      </w:pPr>
      <w:r>
        <w:rPr>
          <w:rFonts w:hint="eastAsia"/>
          <w:szCs w:val="21"/>
        </w:rPr>
        <w:t>GB/T 29862-2013 纺织品 纤维含量的标识</w:t>
      </w:r>
    </w:p>
    <w:p>
      <w:pPr>
        <w:spacing w:line="360" w:lineRule="auto"/>
        <w:ind w:firstLine="420" w:firstLineChars="200"/>
        <w:contextualSpacing/>
        <w:rPr>
          <w:szCs w:val="21"/>
        </w:rPr>
      </w:pPr>
      <w:r>
        <w:rPr>
          <w:rFonts w:hint="eastAsia"/>
          <w:szCs w:val="21"/>
        </w:rPr>
        <w:t xml:space="preserve">FZ/T 73013-2017 针织泳装  </w:t>
      </w:r>
    </w:p>
    <w:p>
      <w:pPr>
        <w:spacing w:line="360" w:lineRule="auto"/>
        <w:ind w:firstLine="420" w:firstLineChars="200"/>
        <w:contextualSpacing/>
        <w:rPr>
          <w:szCs w:val="21"/>
        </w:rPr>
      </w:pPr>
      <w:r>
        <w:rPr>
          <w:rFonts w:hint="eastAsia"/>
          <w:szCs w:val="21"/>
        </w:rPr>
        <w:t>FZ/T 81021-2014 机织泳装</w:t>
      </w:r>
    </w:p>
    <w:p>
      <w:pPr>
        <w:snapToGrid w:val="0"/>
        <w:spacing w:line="440" w:lineRule="exact"/>
        <w:ind w:firstLine="420" w:firstLineChars="200"/>
        <w:rPr>
          <w:rFonts w:ascii="宋体" w:hAnsi="宋体"/>
          <w:szCs w:val="21"/>
        </w:rPr>
      </w:pPr>
      <w:r>
        <w:rPr>
          <w:rFonts w:hint="eastAsia" w:ascii="宋体" w:hAnsi="宋体" w:cs="宋体"/>
          <w:szCs w:val="21"/>
        </w:rPr>
        <w:t>相关的法律、行政法规、部门规章、规范性文件</w:t>
      </w:r>
    </w:p>
    <w:p>
      <w:pPr>
        <w:snapToGrid w:val="0"/>
        <w:spacing w:line="440" w:lineRule="exact"/>
        <w:ind w:firstLine="420" w:firstLineChars="200"/>
        <w:rPr>
          <w:rFonts w:ascii="宋体" w:hAnsi="宋体"/>
          <w:szCs w:val="21"/>
        </w:rPr>
      </w:pPr>
      <w:r>
        <w:rPr>
          <w:rFonts w:hint="eastAsia" w:ascii="宋体" w:hAnsi="宋体"/>
          <w:szCs w:val="21"/>
        </w:rPr>
        <w:t>现行有效的企业标准、团体标准、地方标准及产品明示质量要求</w:t>
      </w:r>
    </w:p>
    <w:p>
      <w:pPr>
        <w:spacing w:line="440" w:lineRule="exact"/>
        <w:rPr>
          <w:rFonts w:ascii="宋体" w:hAnsi="宋体"/>
          <w:b/>
          <w:bCs/>
          <w:szCs w:val="21"/>
        </w:rPr>
      </w:pPr>
      <w:r>
        <w:rPr>
          <w:rFonts w:hint="eastAsia" w:ascii="宋体" w:hAnsi="宋体"/>
          <w:b/>
          <w:bCs/>
          <w:szCs w:val="21"/>
        </w:rPr>
        <w:t>3.2判定原则</w:t>
      </w:r>
    </w:p>
    <w:p>
      <w:pPr>
        <w:adjustRightInd w:val="0"/>
        <w:snapToGrid w:val="0"/>
        <w:spacing w:line="440" w:lineRule="exact"/>
        <w:ind w:firstLine="420" w:firstLineChars="200"/>
        <w:rPr>
          <w:rFonts w:ascii="Times New Roman" w:hAnsi="Times New Roman"/>
          <w:szCs w:val="21"/>
        </w:rPr>
      </w:pPr>
      <w:r>
        <w:rPr>
          <w:rFonts w:hint="eastAsia" w:ascii="Times New Roman" w:hAnsi="Times New Roman"/>
          <w:szCs w:val="21"/>
        </w:rPr>
        <w:t>经检验，检验项目全部合格，判定为被抽查产品</w:t>
      </w:r>
      <w:bookmarkStart w:id="0" w:name="_GoBack"/>
      <w:bookmarkEnd w:id="0"/>
      <w:r>
        <w:rPr>
          <w:rFonts w:hint="eastAsia" w:ascii="Times New Roman" w:hAnsi="Times New Roman"/>
          <w:szCs w:val="21"/>
        </w:rPr>
        <w:t>合格；检验项目中任一项或一项以上不合格，判定为被抽查产品不合格。</w:t>
      </w:r>
    </w:p>
    <w:p>
      <w:pPr>
        <w:adjustRightInd w:val="0"/>
        <w:snapToGrid w:val="0"/>
        <w:spacing w:line="440" w:lineRule="exact"/>
        <w:ind w:firstLine="417" w:firstLineChars="199"/>
        <w:rPr>
          <w:rFonts w:ascii="Times New Roman" w:hAnsi="Times New Roman"/>
          <w:szCs w:val="21"/>
        </w:rPr>
      </w:pPr>
      <w:r>
        <w:rPr>
          <w:rFonts w:hint="eastAsia" w:ascii="Times New Roman" w:hAnsi="Times New Roman"/>
          <w:szCs w:val="21"/>
        </w:rPr>
        <w:t>若被检产品明示的质量要求高于本细则中检验项目依据的标准要求时，应按被检产品明示的质量要求判定。</w:t>
      </w:r>
    </w:p>
    <w:p>
      <w:pPr>
        <w:adjustRightInd w:val="0"/>
        <w:snapToGrid w:val="0"/>
        <w:spacing w:line="440" w:lineRule="exact"/>
        <w:ind w:firstLine="417" w:firstLineChars="199"/>
        <w:rPr>
          <w:rFonts w:ascii="Times New Roman" w:hAnsi="Times New Roman"/>
          <w:szCs w:val="21"/>
        </w:rPr>
      </w:pPr>
      <w:r>
        <w:rPr>
          <w:rFonts w:hint="eastAsia" w:ascii="Times New Roman" w:hAnsi="Times New Roman"/>
          <w:szCs w:val="21"/>
        </w:rPr>
        <w:t>若被检产品明示的质量要求低于本细则中检验项目依据的强制性标准要求时，应按照强制性标准要求判定。</w:t>
      </w:r>
    </w:p>
    <w:p>
      <w:pPr>
        <w:snapToGrid w:val="0"/>
        <w:spacing w:line="440" w:lineRule="exact"/>
        <w:ind w:firstLine="420" w:firstLineChars="200"/>
        <w:rPr>
          <w:rFonts w:ascii="宋体" w:hAnsi="宋体"/>
          <w:szCs w:val="21"/>
        </w:rPr>
      </w:pPr>
      <w:r>
        <w:rPr>
          <w:rFonts w:hint="eastAsia" w:ascii="Times New Roman" w:hAnsi="Times New Roman"/>
          <w:szCs w:val="21"/>
        </w:rPr>
        <w:t>若被检产品明示的质量要求低于或包含本细则中检验项目依据的推荐性标准要求时，应以被检产品明示的质量要求判定。</w:t>
      </w:r>
    </w:p>
    <w:p>
      <w:pPr>
        <w:adjustRightInd w:val="0"/>
        <w:snapToGrid w:val="0"/>
        <w:spacing w:line="440" w:lineRule="exact"/>
        <w:ind w:firstLine="417" w:firstLineChars="199"/>
        <w:rPr>
          <w:rFonts w:ascii="Times New Roman" w:hAnsi="Times New Roman"/>
          <w:szCs w:val="21"/>
        </w:rPr>
      </w:pPr>
      <w:r>
        <w:rPr>
          <w:rFonts w:hint="eastAsia" w:ascii="Times New Roman" w:hAnsi="Times New Roman"/>
          <w:szCs w:val="21"/>
        </w:rPr>
        <w:t>若被检产品明示的质量要求缺少本细则中检验项目依据的强制性标准要求时，应按照强制性标准要求判定</w:t>
      </w:r>
      <w:r>
        <w:rPr>
          <w:rFonts w:hint="eastAsia" w:hAnsi="宋体"/>
        </w:rPr>
        <w:t>，但应在检验报告备注中进行说明</w:t>
      </w:r>
      <w:r>
        <w:rPr>
          <w:rFonts w:hint="eastAsia" w:ascii="Times New Roman" w:hAnsi="Times New Roman"/>
          <w:szCs w:val="21"/>
        </w:rPr>
        <w:t>。</w:t>
      </w:r>
    </w:p>
    <w:p>
      <w:pPr>
        <w:pStyle w:val="3"/>
        <w:adjustRightInd w:val="0"/>
        <w:snapToGrid w:val="0"/>
        <w:spacing w:line="440" w:lineRule="exact"/>
        <w:ind w:firstLine="420" w:firstLineChars="200"/>
        <w:rPr>
          <w:rFonts w:hAnsi="宋体"/>
        </w:rPr>
      </w:pPr>
      <w:r>
        <w:rPr>
          <w:rFonts w:hint="eastAsia" w:hAnsi="宋体"/>
        </w:rPr>
        <w:t>若被检产品明示的质量要求（</w:t>
      </w:r>
      <w:r>
        <w:rPr>
          <w:rFonts w:ascii="Times New Roman" w:hAnsi="Times New Roman"/>
        </w:rPr>
        <w:t>仅针对</w:t>
      </w:r>
      <w:r>
        <w:rPr>
          <w:rFonts w:hint="eastAsia" w:ascii="Times New Roman" w:hAnsi="Times New Roman"/>
        </w:rPr>
        <w:t>企业标准、团体标准、地方标准</w:t>
      </w:r>
      <w:r>
        <w:rPr>
          <w:rFonts w:hint="eastAsia" w:hAnsi="宋体"/>
        </w:rPr>
        <w:t>）缺少本细则中检验项目依据的推荐性标准要求时，该项目不参与判定，但应在检验报告备注中进行说明。</w:t>
      </w:r>
    </w:p>
    <w:p>
      <w:pPr>
        <w:spacing w:line="440" w:lineRule="exact"/>
        <w:ind w:firstLine="420" w:firstLineChars="200"/>
        <w:rPr>
          <w:rFonts w:ascii="宋体" w:hAnsi="宋体"/>
          <w:szCs w:val="21"/>
        </w:rPr>
      </w:pPr>
      <w:r>
        <w:rPr>
          <w:rFonts w:hint="eastAsia" w:ascii="宋体" w:hAnsi="宋体"/>
          <w:szCs w:val="21"/>
        </w:rPr>
        <w:t>若</w:t>
      </w:r>
      <w:r>
        <w:rPr>
          <w:rFonts w:hint="eastAsia" w:hAnsi="宋体"/>
        </w:rPr>
        <w:t>被检产品</w:t>
      </w:r>
      <w:r>
        <w:rPr>
          <w:rFonts w:hint="eastAsia" w:ascii="宋体" w:hAnsi="宋体"/>
          <w:szCs w:val="21"/>
        </w:rPr>
        <w:t>明示产品标准错误或不适用时，仅检验纤维含量和强制性标准要求项目并判定。</w:t>
      </w:r>
    </w:p>
    <w:p>
      <w:pPr>
        <w:rPr>
          <w:b/>
          <w:bCs/>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Courier New">
    <w:panose1 w:val="02070309020205020404"/>
    <w:charset w:val="00"/>
    <w:family w:val="modern"/>
    <w:pitch w:val="default"/>
    <w:sig w:usb0="E0002AFF" w:usb1="C0007843" w:usb2="00000009" w:usb3="00000000" w:csb0="400001FF" w:csb1="FFFF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仿宋简体">
    <w:altName w:val="Arial Unicode MS"/>
    <w:panose1 w:val="00000000000000000000"/>
    <w:charset w:val="86"/>
    <w:family w:val="script"/>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CE73117"/>
    <w:multiLevelType w:val="multilevel"/>
    <w:tmpl w:val="6CE73117"/>
    <w:lvl w:ilvl="0" w:tentative="0">
      <w:start w:val="1"/>
      <w:numFmt w:val="decimal"/>
      <w:suff w:val="space"/>
      <w:lvlText w:val="%1 "/>
      <w:lvlJc w:val="left"/>
      <w:pPr>
        <w:ind w:left="0" w:firstLine="0"/>
      </w:pPr>
      <w:rPr>
        <w:rFonts w:hint="eastAsia" w:ascii="黑体" w:hAnsi="黑体" w:eastAsia="黑体"/>
        <w:sz w:val="21"/>
      </w:rPr>
    </w:lvl>
    <w:lvl w:ilvl="1" w:tentative="0">
      <w:start w:val="1"/>
      <w:numFmt w:val="decimal"/>
      <w:pStyle w:val="6"/>
      <w:suff w:val="space"/>
      <w:lvlText w:val="%1.%2 "/>
      <w:lvlJc w:val="left"/>
      <w:pPr>
        <w:ind w:left="0" w:firstLine="0"/>
      </w:pPr>
      <w:rPr>
        <w:rFonts w:hint="eastAsia" w:ascii="黑体" w:hAnsi="黑体" w:eastAsia="黑体"/>
      </w:rPr>
    </w:lvl>
    <w:lvl w:ilvl="2" w:tentative="0">
      <w:start w:val="1"/>
      <w:numFmt w:val="decimal"/>
      <w:suff w:val="space"/>
      <w:lvlText w:val="%1.%2.%3 "/>
      <w:lvlJc w:val="left"/>
      <w:pPr>
        <w:ind w:left="0" w:firstLine="0"/>
      </w:pPr>
      <w:rPr>
        <w:rFonts w:hint="eastAsia" w:ascii="黑体" w:hAnsi="黑体" w:eastAsia="黑体"/>
      </w:rPr>
    </w:lvl>
    <w:lvl w:ilvl="3" w:tentative="0">
      <w:start w:val="1"/>
      <w:numFmt w:val="decimal"/>
      <w:suff w:val="space"/>
      <w:lvlText w:val="%1.%2.%3.%4 "/>
      <w:lvlJc w:val="left"/>
      <w:pPr>
        <w:ind w:left="0" w:firstLine="0"/>
      </w:pPr>
      <w:rPr>
        <w:rFonts w:hint="eastAsia" w:ascii="黑体" w:hAnsi="黑体" w:eastAsia="黑体"/>
      </w:rPr>
    </w:lvl>
    <w:lvl w:ilvl="4" w:tentative="0">
      <w:start w:val="1"/>
      <w:numFmt w:val="decimal"/>
      <w:suff w:val="space"/>
      <w:lvlText w:val="%1.%2.%3.%4.%5 "/>
      <w:lvlJc w:val="left"/>
      <w:pPr>
        <w:ind w:left="0" w:firstLine="0"/>
      </w:pPr>
      <w:rPr>
        <w:rFonts w:hint="eastAsia" w:ascii="黑体" w:hAnsi="黑体" w:eastAsia="黑体"/>
      </w:rPr>
    </w:lvl>
    <w:lvl w:ilvl="5" w:tentative="0">
      <w:start w:val="1"/>
      <w:numFmt w:val="decimal"/>
      <w:suff w:val="space"/>
      <w:lvlText w:val="%1.%2.%3.%4.%5.%6 "/>
      <w:lvlJc w:val="left"/>
      <w:pPr>
        <w:ind w:left="0" w:firstLine="0"/>
      </w:pPr>
      <w:rPr>
        <w:rFonts w:hint="eastAsia" w:ascii="黑体" w:hAnsi="黑体" w:eastAsia="黑体"/>
      </w:rPr>
    </w:lvl>
    <w:lvl w:ilvl="6" w:tentative="0">
      <w:start w:val="1"/>
      <w:numFmt w:val="decimal"/>
      <w:lvlText w:val="%1.%2.%3.%4.%5.%6.%7"/>
      <w:lvlJc w:val="left"/>
      <w:pPr>
        <w:ind w:left="0" w:firstLine="0"/>
      </w:pPr>
      <w:rPr>
        <w:rFonts w:hint="eastAsia"/>
      </w:rPr>
    </w:lvl>
    <w:lvl w:ilvl="7" w:tentative="0">
      <w:start w:val="1"/>
      <w:numFmt w:val="decimal"/>
      <w:lvlText w:val="%1.%2.%3.%4.%5.%6.%7.%8"/>
      <w:lvlJc w:val="left"/>
      <w:pPr>
        <w:ind w:left="0" w:firstLine="0"/>
      </w:pPr>
      <w:rPr>
        <w:rFonts w:hint="eastAsia"/>
      </w:rPr>
    </w:lvl>
    <w:lvl w:ilvl="8" w:tentative="0">
      <w:start w:val="1"/>
      <w:numFmt w:val="decimal"/>
      <w:lvlText w:val="%1.%2.%3.%4.%5.%6.%7.%8.%9"/>
      <w:lvlJc w:val="left"/>
      <w:pPr>
        <w:ind w:left="0" w:firstLine="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BD531C8"/>
    <w:rsid w:val="00422615"/>
    <w:rsid w:val="00636152"/>
    <w:rsid w:val="00F61490"/>
    <w:rsid w:val="00F97E8A"/>
    <w:rsid w:val="2D3B6A44"/>
    <w:rsid w:val="2F7D03C6"/>
    <w:rsid w:val="3C5D7776"/>
    <w:rsid w:val="40AA3B5D"/>
    <w:rsid w:val="48C73D3E"/>
    <w:rsid w:val="4F712615"/>
    <w:rsid w:val="53E957C0"/>
    <w:rsid w:val="60045CAB"/>
    <w:rsid w:val="61EE39DA"/>
    <w:rsid w:val="687C022F"/>
    <w:rsid w:val="6BD531C8"/>
    <w:rsid w:val="73AF6DC9"/>
    <w:rsid w:val="79862E71"/>
    <w:rsid w:val="79C8340B"/>
    <w:rsid w:val="7F666C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99"/>
    <w:rPr>
      <w:rFonts w:ascii="仿宋_GB2312" w:eastAsia="仿宋_GB2312"/>
      <w:sz w:val="32"/>
    </w:rPr>
  </w:style>
  <w:style w:type="paragraph" w:styleId="3">
    <w:name w:val="Plain Text"/>
    <w:basedOn w:val="1"/>
    <w:qFormat/>
    <w:uiPriority w:val="0"/>
    <w:rPr>
      <w:rFonts w:ascii="宋体" w:hAnsi="Courier New" w:eastAsia="宋体" w:cs="Times New Roman"/>
      <w:szCs w:val="20"/>
    </w:rPr>
  </w:style>
  <w:style w:type="paragraph" w:customStyle="1" w:styleId="6">
    <w:name w:val="一级条标题"/>
    <w:basedOn w:val="7"/>
    <w:next w:val="8"/>
    <w:qFormat/>
    <w:uiPriority w:val="0"/>
    <w:pPr>
      <w:numPr>
        <w:ilvl w:val="1"/>
        <w:numId w:val="1"/>
      </w:numPr>
      <w:tabs>
        <w:tab w:val="left" w:pos="810"/>
        <w:tab w:val="left" w:pos="1265"/>
      </w:tabs>
      <w:spacing w:before="156" w:beforeLines="50" w:after="156" w:afterLines="50"/>
      <w:outlineLvl w:val="2"/>
    </w:pPr>
    <w:rPr>
      <w:rFonts w:hAnsi="Times New Roman"/>
      <w:color w:val="000000"/>
      <w:szCs w:val="21"/>
    </w:rPr>
  </w:style>
  <w:style w:type="paragraph" w:customStyle="1" w:styleId="7">
    <w:name w:val="章标题"/>
    <w:next w:val="1"/>
    <w:qFormat/>
    <w:uiPriority w:val="99"/>
    <w:pPr>
      <w:tabs>
        <w:tab w:val="left" w:pos="810"/>
        <w:tab w:val="left" w:pos="1265"/>
      </w:tabs>
      <w:spacing w:before="50" w:after="50"/>
      <w:ind w:left="810" w:hanging="810"/>
      <w:jc w:val="both"/>
      <w:outlineLvl w:val="1"/>
    </w:pPr>
    <w:rPr>
      <w:rFonts w:ascii="黑体" w:hAnsi="Calibri" w:eastAsia="黑体" w:cs="Times New Roman"/>
      <w:kern w:val="2"/>
      <w:sz w:val="21"/>
      <w:szCs w:val="22"/>
      <w:lang w:val="en-US" w:eastAsia="zh-CN" w:bidi="ar-SA"/>
    </w:rPr>
  </w:style>
  <w:style w:type="paragraph" w:customStyle="1" w:styleId="8">
    <w:name w:val="段"/>
    <w:next w:val="1"/>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paragraph" w:customStyle="1" w:styleId="9">
    <w:name w:val="表格内"/>
    <w:basedOn w:val="1"/>
    <w:qFormat/>
    <w:uiPriority w:val="0"/>
    <w:pPr>
      <w:jc w:val="center"/>
    </w:pPr>
    <w:rPr>
      <w:rFonts w:eastAsia="宋体"/>
      <w:sz w:val="24"/>
    </w:rPr>
  </w:style>
  <w:style w:type="paragraph" w:customStyle="1" w:styleId="10">
    <w:name w:val="图表标题"/>
    <w:basedOn w:val="1"/>
    <w:qFormat/>
    <w:uiPriority w:val="0"/>
    <w:pPr>
      <w:jc w:val="center"/>
    </w:pPr>
    <w:rPr>
      <w:rFonts w:ascii="Times New Roman" w:hAnsi="Times New Roman" w:eastAsia="宋体" w:cs="Times New Roman"/>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Hewlett-Packard Company</Company>
  <Pages>3</Pages>
  <Words>1250</Words>
  <Characters>709</Characters>
  <Lines>5</Lines>
  <Paragraphs>3</Paragraphs>
  <TotalTime>7</TotalTime>
  <ScaleCrop>false</ScaleCrop>
  <LinksUpToDate>false</LinksUpToDate>
  <CharactersWithSpaces>1956</CharactersWithSpaces>
  <Application>WPS Office_11.8.2.10229_F1E327BC-269C-435d-A152-05C5408002CA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2021-08-14T04:55:00Z</dcterms:created>
  <dc:creator>高立红</dc:creator>
  <cp:lastModifiedBy>Hatchi</cp:lastModifiedBy>
  <dcterms:modified xsi:type="dcterms:W3CDTF">2021-11-16T06:26:57Z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y fmtid="{D5CDD505-2E9C-101B-9397-08002B2CF9AE}" pid="3" name="ICV">
    <vt:lpwstr>56AB247964914F5F9E3D894FAAE60598</vt:lpwstr>
  </property>
</Properties>
</file>