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cs="方正仿宋简体"/>
          <w:color w:val="000000"/>
          <w:sz w:val="32"/>
          <w:szCs w:val="32"/>
        </w:rPr>
      </w:pPr>
      <w:bookmarkStart w:id="0" w:name="_GoBack"/>
      <w:bookmarkEnd w:id="0"/>
      <w:r>
        <w:rPr>
          <w:rFonts w:hint="eastAsia" w:ascii="方正小标宋简体" w:hAnsi="仿宋" w:eastAsia="方正小标宋简体" w:cs="方正仿宋简体"/>
          <w:color w:val="000000"/>
          <w:sz w:val="32"/>
          <w:szCs w:val="32"/>
        </w:rPr>
        <w:t>重庆市忠县西服、大衣产品质量监督抽查实施细则</w:t>
      </w:r>
    </w:p>
    <w:p>
      <w:pPr>
        <w:spacing w:line="440" w:lineRule="exact"/>
        <w:rPr>
          <w:rFonts w:hint="eastAsia" w:ascii="黑体" w:hAnsi="宋体" w:eastAsia="黑体"/>
          <w:color w:val="000000"/>
          <w:szCs w:val="21"/>
        </w:rPr>
      </w:pPr>
    </w:p>
    <w:p>
      <w:pPr>
        <w:spacing w:line="440" w:lineRule="exact"/>
        <w:rPr>
          <w:rFonts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color w:val="000000"/>
          <w:szCs w:val="21"/>
        </w:rPr>
      </w:pPr>
      <w:r>
        <w:rPr>
          <w:rFonts w:hint="eastAsia" w:ascii="宋体" w:hAnsi="宋体"/>
          <w:szCs w:val="21"/>
        </w:rPr>
        <w:t>在生产者、销售者的待销产品中随机抽取有产品质量检验合格证明或者以其他形式表明合格的、近期生产的产品</w:t>
      </w:r>
      <w:r>
        <w:rPr>
          <w:rFonts w:hint="eastAsia"/>
          <w:szCs w:val="21"/>
        </w:rPr>
        <w:t>。</w:t>
      </w:r>
    </w:p>
    <w:p>
      <w:pPr>
        <w:snapToGrid w:val="0"/>
        <w:spacing w:line="440" w:lineRule="exact"/>
        <w:ind w:firstLine="420" w:firstLineChars="200"/>
        <w:rPr>
          <w:rFonts w:ascii="宋体" w:hAnsi="宋体"/>
          <w:szCs w:val="21"/>
        </w:rPr>
      </w:pPr>
      <w:r>
        <w:rPr>
          <w:rFonts w:hint="eastAsia" w:ascii="宋体" w:hAnsi="宋体"/>
          <w:szCs w:val="21"/>
        </w:rPr>
        <w:t>抽查样品基数满足抽样数量即可。</w:t>
      </w:r>
    </w:p>
    <w:p>
      <w:pPr>
        <w:snapToGrid w:val="0"/>
        <w:spacing w:line="440" w:lineRule="exact"/>
        <w:ind w:firstLine="420" w:firstLineChars="200"/>
        <w:rPr>
          <w:rFonts w:ascii="宋体" w:hAnsi="宋体"/>
          <w:szCs w:val="21"/>
        </w:rPr>
      </w:pPr>
      <w:r>
        <w:rPr>
          <w:rFonts w:hint="eastAsia" w:ascii="宋体" w:hAnsi="宋体"/>
          <w:szCs w:val="21"/>
        </w:rPr>
        <w:t>抽取同一生产者按照同一标准生产的同一商标、同一款式（货/款号）、同一花型颜色及材料的产品，其中成人服装抽取样品2件/套/条，其中1件/套/条作为检验样品，1件/套/条作为备用样品。如样品过小，可适当增加抽样数量，但不得超过检验、复检的合理需要。</w:t>
      </w:r>
    </w:p>
    <w:p>
      <w:pPr>
        <w:snapToGrid w:val="0"/>
        <w:spacing w:line="440" w:lineRule="exact"/>
        <w:ind w:firstLine="420" w:firstLineChars="200"/>
        <w:rPr>
          <w:rFonts w:ascii="宋体" w:hAnsi="宋体"/>
          <w:szCs w:val="21"/>
        </w:rPr>
      </w:pPr>
      <w:r>
        <w:rPr>
          <w:rFonts w:hint="eastAsia" w:ascii="宋体" w:hAnsi="宋体"/>
          <w:szCs w:val="21"/>
        </w:rPr>
        <w:t>随机数抽样，随机数一般可使用随机数表、随机数骰子或扑克牌等方法产生。</w:t>
      </w:r>
    </w:p>
    <w:p>
      <w:pPr>
        <w:spacing w:line="440" w:lineRule="exact"/>
        <w:rPr>
          <w:rFonts w:ascii="黑体" w:hAnsi="宋体" w:eastAsia="黑体"/>
          <w:color w:val="000000"/>
          <w:szCs w:val="21"/>
        </w:rPr>
      </w:pPr>
      <w:r>
        <w:rPr>
          <w:rFonts w:hint="eastAsia" w:ascii="黑体" w:hAnsi="宋体" w:eastAsia="黑体"/>
          <w:color w:val="000000"/>
          <w:szCs w:val="21"/>
        </w:rPr>
        <w:t>2 检验依据</w:t>
      </w:r>
    </w:p>
    <w:p>
      <w:pPr>
        <w:spacing w:line="360" w:lineRule="auto"/>
        <w:ind w:left="420" w:hanging="420" w:hangingChars="200"/>
        <w:contextualSpacing/>
        <w:jc w:val="center"/>
        <w:rPr>
          <w:rFonts w:ascii="宋体" w:hAnsi="宋体"/>
          <w:szCs w:val="21"/>
          <w:highlight w:val="none"/>
        </w:rPr>
      </w:pPr>
      <w:r>
        <w:rPr>
          <w:rFonts w:hint="eastAsia" w:ascii="宋体" w:hAnsi="宋体"/>
          <w:szCs w:val="21"/>
          <w:highlight w:val="none"/>
        </w:rPr>
        <w:t>表1检验项目</w:t>
      </w:r>
    </w:p>
    <w:tbl>
      <w:tblPr>
        <w:tblStyle w:val="4"/>
        <w:tblW w:w="8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98"/>
        <w:gridCol w:w="2409"/>
        <w:gridCol w:w="2409"/>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trPr>
        <w:tc>
          <w:tcPr>
            <w:tcW w:w="1098"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序号</w:t>
            </w:r>
          </w:p>
        </w:tc>
        <w:tc>
          <w:tcPr>
            <w:tcW w:w="2409"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检验项目</w:t>
            </w:r>
          </w:p>
        </w:tc>
        <w:tc>
          <w:tcPr>
            <w:tcW w:w="2409" w:type="dxa"/>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判定依据</w:t>
            </w:r>
          </w:p>
        </w:tc>
        <w:tc>
          <w:tcPr>
            <w:tcW w:w="2415" w:type="dxa"/>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trPr>
        <w:tc>
          <w:tcPr>
            <w:tcW w:w="1098"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409"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纤维含量</w:t>
            </w:r>
          </w:p>
        </w:tc>
        <w:tc>
          <w:tcPr>
            <w:tcW w:w="2409"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GB/T 29862-2013</w:t>
            </w:r>
          </w:p>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相应产品标准</w:t>
            </w:r>
          </w:p>
        </w:tc>
        <w:tc>
          <w:tcPr>
            <w:tcW w:w="2415" w:type="dxa"/>
            <w:vAlign w:val="center"/>
          </w:tcPr>
          <w:p>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FZ/T 01057.1-2007</w:t>
            </w:r>
          </w:p>
          <w:p>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FZ/T 01057.2-2007</w:t>
            </w:r>
          </w:p>
          <w:p>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FZ/T 01057.3-2007</w:t>
            </w:r>
          </w:p>
          <w:p>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FZ/T 01057.4-2007</w:t>
            </w:r>
          </w:p>
          <w:p>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GB/T 2910.1-2009</w:t>
            </w:r>
          </w:p>
          <w:p>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GB/T 2910.2-2009</w:t>
            </w:r>
          </w:p>
          <w:p>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GB/T 2910.3-2009</w:t>
            </w:r>
          </w:p>
          <w:p>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GB/T 2910.4-2009</w:t>
            </w:r>
          </w:p>
          <w:p>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GB/T 2910.6-2009</w:t>
            </w:r>
          </w:p>
          <w:p>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GB/T 2910.7-2009</w:t>
            </w:r>
          </w:p>
          <w:p>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GB/T 2910.8-2009</w:t>
            </w:r>
          </w:p>
          <w:p>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GB/T 2910.11-2009</w:t>
            </w:r>
          </w:p>
          <w:p>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GB/T 2910.12-2009</w:t>
            </w:r>
          </w:p>
          <w:p>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GB/T 2910.18-2009</w:t>
            </w:r>
          </w:p>
          <w:p>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GB/T 2910.20-2009</w:t>
            </w:r>
          </w:p>
          <w:p>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GB/T 2910.22-2009</w:t>
            </w:r>
          </w:p>
          <w:p>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GB/T 2910.101-2009</w:t>
            </w:r>
          </w:p>
          <w:p>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FZ/T 01101-2008</w:t>
            </w:r>
          </w:p>
          <w:p>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FZ/T 01112-2012</w:t>
            </w:r>
          </w:p>
          <w:p>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FZ/T 01026-2017</w:t>
            </w:r>
          </w:p>
          <w:p>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FZ/T 01095-2002</w:t>
            </w:r>
          </w:p>
          <w:p>
            <w:pPr>
              <w:adjustRightInd w:val="0"/>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FZ/T 30003-2009</w:t>
            </w:r>
          </w:p>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GB/T 16988-2013等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trPr>
        <w:tc>
          <w:tcPr>
            <w:tcW w:w="1098"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2409"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甲醛含量</w:t>
            </w:r>
          </w:p>
        </w:tc>
        <w:tc>
          <w:tcPr>
            <w:tcW w:w="2409" w:type="dxa"/>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 18401-2010</w:t>
            </w:r>
          </w:p>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相应产品标准</w:t>
            </w:r>
          </w:p>
        </w:tc>
        <w:tc>
          <w:tcPr>
            <w:tcW w:w="241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trPr>
        <w:tc>
          <w:tcPr>
            <w:tcW w:w="1098"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w:t>
            </w:r>
          </w:p>
        </w:tc>
        <w:tc>
          <w:tcPr>
            <w:tcW w:w="2409"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pH值</w:t>
            </w:r>
          </w:p>
        </w:tc>
        <w:tc>
          <w:tcPr>
            <w:tcW w:w="2409" w:type="dxa"/>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 18401-2010</w:t>
            </w:r>
          </w:p>
          <w:p>
            <w:pPr>
              <w:pStyle w:val="2"/>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相应产品标准</w:t>
            </w:r>
          </w:p>
        </w:tc>
        <w:tc>
          <w:tcPr>
            <w:tcW w:w="241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GB/T 7573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trPr>
        <w:tc>
          <w:tcPr>
            <w:tcW w:w="1098"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w:t>
            </w:r>
          </w:p>
        </w:tc>
        <w:tc>
          <w:tcPr>
            <w:tcW w:w="2409"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耐水色牢度</w:t>
            </w:r>
            <w:r>
              <w:rPr>
                <w:rFonts w:hint="eastAsia" w:ascii="宋体" w:hAnsi="宋体" w:eastAsia="宋体"/>
                <w:color w:val="000000"/>
                <w:szCs w:val="21"/>
                <w:highlight w:val="none"/>
                <w:vertAlign w:val="superscript"/>
              </w:rPr>
              <w:t>②</w:t>
            </w:r>
          </w:p>
        </w:tc>
        <w:tc>
          <w:tcPr>
            <w:tcW w:w="2409"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 18401-2010</w:t>
            </w:r>
          </w:p>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相应产品标准</w:t>
            </w:r>
          </w:p>
        </w:tc>
        <w:tc>
          <w:tcPr>
            <w:tcW w:w="241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trPr>
        <w:tc>
          <w:tcPr>
            <w:tcW w:w="1098"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w:t>
            </w:r>
          </w:p>
        </w:tc>
        <w:tc>
          <w:tcPr>
            <w:tcW w:w="2409"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耐汗渍色牢度</w:t>
            </w:r>
            <w:r>
              <w:rPr>
                <w:rFonts w:hint="eastAsia" w:ascii="宋体" w:hAnsi="宋体" w:eastAsia="宋体"/>
                <w:color w:val="000000"/>
                <w:szCs w:val="21"/>
                <w:highlight w:val="none"/>
                <w:vertAlign w:val="superscript"/>
              </w:rPr>
              <w:t>②</w:t>
            </w:r>
          </w:p>
        </w:tc>
        <w:tc>
          <w:tcPr>
            <w:tcW w:w="2409" w:type="dxa"/>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 18401-2010</w:t>
            </w:r>
          </w:p>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相应产品标准</w:t>
            </w:r>
          </w:p>
        </w:tc>
        <w:tc>
          <w:tcPr>
            <w:tcW w:w="241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trPr>
        <w:tc>
          <w:tcPr>
            <w:tcW w:w="1098"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2409"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耐摩擦色牢度</w:t>
            </w:r>
            <w:r>
              <w:rPr>
                <w:rFonts w:hint="eastAsia" w:ascii="宋体" w:hAnsi="宋体" w:eastAsia="宋体"/>
                <w:color w:val="000000"/>
                <w:szCs w:val="21"/>
                <w:highlight w:val="none"/>
                <w:vertAlign w:val="superscript"/>
              </w:rPr>
              <w:t>②</w:t>
            </w:r>
          </w:p>
        </w:tc>
        <w:tc>
          <w:tcPr>
            <w:tcW w:w="2409" w:type="dxa"/>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 18401-2010</w:t>
            </w:r>
          </w:p>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相应产品标准</w:t>
            </w:r>
          </w:p>
        </w:tc>
        <w:tc>
          <w:tcPr>
            <w:tcW w:w="241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trPr>
        <w:tc>
          <w:tcPr>
            <w:tcW w:w="1098"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7</w:t>
            </w:r>
          </w:p>
        </w:tc>
        <w:tc>
          <w:tcPr>
            <w:tcW w:w="2409"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可分解致癌芳香胺染料</w:t>
            </w:r>
            <w:r>
              <w:rPr>
                <w:rFonts w:hint="eastAsia" w:asciiTheme="minorEastAsia" w:hAnsiTheme="minorEastAsia" w:cstheme="minorEastAsia"/>
                <w:szCs w:val="21"/>
                <w:highlight w:val="none"/>
                <w:vertAlign w:val="superscript"/>
              </w:rPr>
              <w:t>①</w:t>
            </w:r>
          </w:p>
        </w:tc>
        <w:tc>
          <w:tcPr>
            <w:tcW w:w="2409"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 18401-2010</w:t>
            </w:r>
          </w:p>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相应产品标准</w:t>
            </w:r>
          </w:p>
        </w:tc>
        <w:tc>
          <w:tcPr>
            <w:tcW w:w="2415" w:type="dxa"/>
            <w:vAlign w:val="center"/>
          </w:tcPr>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GB/T 17592-2011</w:t>
            </w:r>
          </w:p>
          <w:p>
            <w:pPr>
              <w:snapToGrid w:val="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trPr>
        <w:tc>
          <w:tcPr>
            <w:tcW w:w="8331" w:type="dxa"/>
            <w:gridSpan w:val="4"/>
            <w:vAlign w:val="center"/>
          </w:tcPr>
          <w:p>
            <w:pPr>
              <w:snapToGrid w:val="0"/>
              <w:rPr>
                <w:highlight w:val="none"/>
              </w:rPr>
            </w:pPr>
            <w:r>
              <w:rPr>
                <w:rFonts w:hint="eastAsia"/>
                <w:highlight w:val="none"/>
              </w:rPr>
              <w:t>备注：</w:t>
            </w:r>
          </w:p>
          <w:p>
            <w:pPr>
              <w:snapToGrid w:val="0"/>
              <w:rPr>
                <w:rFonts w:ascii="宋体" w:hAnsi="宋体" w:eastAsia="宋体"/>
                <w:color w:val="000000"/>
                <w:szCs w:val="21"/>
                <w:highlight w:val="none"/>
              </w:rPr>
            </w:pPr>
            <w:r>
              <w:rPr>
                <w:rFonts w:hint="eastAsia" w:ascii="宋体" w:hAnsi="宋体" w:eastAsia="宋体"/>
                <w:color w:val="000000"/>
                <w:szCs w:val="21"/>
                <w:highlight w:val="none"/>
              </w:rPr>
              <w:t>A、①纺织品可分解致癌芳香胺染料检测采用GC/MS定性和定量，出现阳性结果时用HPLC/DAD进一步确认；②白色产品不检测；</w:t>
            </w:r>
          </w:p>
          <w:p>
            <w:pPr>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B、若样品量不能满足所有试验要求，按照纤维含量、可分解致癌芳香胺染料、甲醛含量、pH值、耐汗渍色牢度、耐摩擦色牢度、耐水色牢度的取样顺序进行检测；</w:t>
            </w:r>
          </w:p>
          <w:p>
            <w:pPr>
              <w:snapToGrid w:val="0"/>
              <w:rPr>
                <w:highlight w:val="none"/>
              </w:rPr>
            </w:pPr>
            <w:r>
              <w:rPr>
                <w:rFonts w:hint="eastAsia" w:ascii="宋体" w:hAnsi="宋体"/>
                <w:color w:val="000000"/>
                <w:szCs w:val="21"/>
                <w:highlight w:val="none"/>
              </w:rPr>
              <w:t>C、当样品不能满足某个试验项目要求时，该项目不予考核。</w:t>
            </w:r>
          </w:p>
        </w:tc>
      </w:tr>
    </w:tbl>
    <w:p>
      <w:pPr>
        <w:snapToGrid w:val="0"/>
        <w:spacing w:line="440" w:lineRule="exact"/>
        <w:ind w:firstLine="420" w:firstLineChars="200"/>
        <w:rPr>
          <w:rFonts w:ascii="宋体" w:hAnsi="宋体"/>
          <w:color w:val="000000"/>
          <w:szCs w:val="21"/>
        </w:rPr>
      </w:pPr>
      <w:r>
        <w:rPr>
          <w:rFonts w:hint="eastAsia" w:ascii="宋体" w:hAnsi="宋体"/>
          <w:color w:val="000000"/>
          <w:szCs w:val="21"/>
        </w:rPr>
        <w:t>凡是注日期的文件，其随后所有的修改单（不包括勘误的内容）或修订版不适用于本细则，不注日期的文件，按照产品明示质量要求执行。</w:t>
      </w:r>
    </w:p>
    <w:p>
      <w:pPr>
        <w:spacing w:line="440" w:lineRule="exact"/>
        <w:rPr>
          <w:rFonts w:ascii="黑体" w:hAnsi="黑体" w:eastAsia="黑体"/>
          <w:b/>
          <w:bCs/>
          <w:color w:val="000000"/>
          <w:szCs w:val="21"/>
        </w:rPr>
      </w:pPr>
      <w:r>
        <w:rPr>
          <w:rFonts w:hint="eastAsia" w:ascii="黑体" w:hAnsi="黑体" w:eastAsia="黑体"/>
          <w:b/>
          <w:bCs/>
          <w:color w:val="000000"/>
          <w:szCs w:val="21"/>
        </w:rPr>
        <w:t>3 判定规则</w:t>
      </w:r>
    </w:p>
    <w:p>
      <w:pPr>
        <w:spacing w:line="440" w:lineRule="exact"/>
        <w:rPr>
          <w:rFonts w:ascii="宋体" w:hAnsi="宋体"/>
          <w:b/>
          <w:bCs/>
          <w:color w:val="000000"/>
          <w:szCs w:val="21"/>
        </w:rPr>
      </w:pPr>
      <w:r>
        <w:rPr>
          <w:rFonts w:hint="eastAsia" w:ascii="宋体" w:hAnsi="宋体"/>
          <w:b/>
          <w:bCs/>
          <w:color w:val="000000"/>
          <w:szCs w:val="21"/>
        </w:rPr>
        <w:t>3.1依据标准</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 xml:space="preserve">GB 18401-2010 国家纺织产品基本安全技术规范 </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GB/T 29862-2013 纺织品  纤维含量的标识</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 xml:space="preserve">GB/T 2662-2017 棉服装  </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GB/T 2664-2017 男西服、大衣</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GB/T 2665-2017 女西服、大衣</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GB/T 22700-2016 水洗整理服装</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GB/T 26384-2011 针织棉服装</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FZ/T 73020-2019 针织休闲服装</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FZ/T 73032-2017 针织牛仔服装</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FZ/T 73043-2020 针织衬衫</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FZ/T 73061-2019 针织</w:t>
      </w:r>
      <w:r>
        <w:rPr>
          <w:rFonts w:hint="eastAsia" w:ascii="宋体" w:hAnsi="宋体"/>
          <w:color w:val="000000"/>
          <w:szCs w:val="21"/>
          <w:lang w:eastAsia="zh-CN"/>
        </w:rPr>
        <w:t>夹克</w:t>
      </w:r>
      <w:r>
        <w:rPr>
          <w:rFonts w:hint="eastAsia" w:ascii="宋体" w:hAnsi="宋体"/>
          <w:color w:val="000000"/>
          <w:szCs w:val="21"/>
        </w:rPr>
        <w:t>衫</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FZ/T 73056-2016 针织西服</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FZ/T 73058-2017 针织大衣</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FZ/T 81006-2017 牛仔服装</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FZ/T 81007-2012 单、夹服装</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 xml:space="preserve">FZ/T 81008-2011 </w:t>
      </w:r>
      <w:r>
        <w:rPr>
          <w:rFonts w:hint="eastAsia" w:ascii="宋体" w:hAnsi="宋体"/>
          <w:color w:val="000000"/>
          <w:szCs w:val="21"/>
          <w:lang w:eastAsia="zh-CN"/>
        </w:rPr>
        <w:t>夹克</w:t>
      </w:r>
      <w:r>
        <w:rPr>
          <w:rFonts w:hint="eastAsia" w:ascii="宋体" w:hAnsi="宋体"/>
          <w:color w:val="000000"/>
          <w:szCs w:val="21"/>
        </w:rPr>
        <w:t>衫</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FZ/T 81010-2018 风衣</w:t>
      </w:r>
    </w:p>
    <w:p>
      <w:pPr>
        <w:snapToGrid w:val="0"/>
        <w:spacing w:line="440" w:lineRule="exact"/>
        <w:ind w:firstLine="420" w:firstLineChars="200"/>
        <w:rPr>
          <w:rFonts w:ascii="宋体" w:hAnsi="宋体"/>
          <w:color w:val="000000"/>
          <w:szCs w:val="21"/>
        </w:rPr>
      </w:pPr>
      <w:r>
        <w:rPr>
          <w:rFonts w:hint="eastAsia" w:ascii="宋体" w:hAnsi="宋体" w:cs="宋体"/>
          <w:color w:val="000000"/>
          <w:szCs w:val="21"/>
        </w:rPr>
        <w:t>相关的法律、行政法规、部门规章、规范性文件</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现行有效的企业标准、团体标准、地方标准及产品明示质量要求</w:t>
      </w:r>
    </w:p>
    <w:p>
      <w:pPr>
        <w:spacing w:line="440" w:lineRule="exact"/>
        <w:rPr>
          <w:rFonts w:ascii="宋体" w:hAnsi="宋体"/>
          <w:b/>
          <w:bCs/>
          <w:color w:val="000000"/>
          <w:szCs w:val="21"/>
        </w:rPr>
      </w:pPr>
      <w:r>
        <w:rPr>
          <w:rFonts w:hint="eastAsia" w:ascii="宋体" w:hAnsi="宋体"/>
          <w:b/>
          <w:bCs/>
          <w:color w:val="000000"/>
          <w:szCs w:val="21"/>
        </w:rPr>
        <w:t>3.2判定原则</w:t>
      </w:r>
    </w:p>
    <w:p>
      <w:pPr>
        <w:adjustRightInd w:val="0"/>
        <w:snapToGrid w:val="0"/>
        <w:spacing w:line="440" w:lineRule="exact"/>
        <w:ind w:firstLine="420" w:firstLineChars="200"/>
        <w:rPr>
          <w:rFonts w:ascii="Times New Roman" w:hAnsi="Times New Roman"/>
          <w:color w:val="000000"/>
          <w:szCs w:val="21"/>
        </w:rPr>
      </w:pPr>
      <w:r>
        <w:rPr>
          <w:rFonts w:hint="eastAsia" w:ascii="Times New Roman" w:hAnsi="Times New Roman"/>
          <w:color w:val="000000"/>
          <w:szCs w:val="21"/>
        </w:rPr>
        <w:t>经检验，检验项目全部合格，判定为被抽查产品合格；检验项目中任一项或一项以上不合格，判定为被抽查产品不合格。</w:t>
      </w:r>
    </w:p>
    <w:p>
      <w:pPr>
        <w:adjustRightInd w:val="0"/>
        <w:snapToGrid w:val="0"/>
        <w:spacing w:line="440" w:lineRule="exact"/>
        <w:ind w:firstLine="417" w:firstLineChars="199"/>
        <w:rPr>
          <w:rFonts w:ascii="Times New Roman" w:hAnsi="Times New Roman"/>
          <w:color w:val="000000"/>
          <w:szCs w:val="21"/>
        </w:rPr>
      </w:pPr>
      <w:r>
        <w:rPr>
          <w:rFonts w:hint="eastAsia" w:ascii="Times New Roman" w:hAnsi="Times New Roman"/>
          <w:color w:val="000000"/>
          <w:szCs w:val="21"/>
        </w:rPr>
        <w:t>若被检产品明示的质量要求高于本细则中检验项目依据的标准要求时，应按被检产品明示的质量要求判定。</w:t>
      </w:r>
    </w:p>
    <w:p>
      <w:pPr>
        <w:adjustRightInd w:val="0"/>
        <w:snapToGrid w:val="0"/>
        <w:spacing w:line="440" w:lineRule="exact"/>
        <w:ind w:firstLine="417" w:firstLineChars="199"/>
        <w:rPr>
          <w:rFonts w:ascii="Times New Roman" w:hAnsi="Times New Roman"/>
          <w:color w:val="000000"/>
          <w:szCs w:val="21"/>
        </w:rPr>
      </w:pPr>
      <w:r>
        <w:rPr>
          <w:rFonts w:hint="eastAsia" w:ascii="Times New Roman" w:hAnsi="Times New Roman"/>
          <w:color w:val="000000"/>
          <w:szCs w:val="21"/>
        </w:rPr>
        <w:t>若被检产品明示的质量要求低于本细则中检验项目依据的强制性标准要求时，应按照强制性标准要求判定。</w:t>
      </w:r>
    </w:p>
    <w:p>
      <w:pPr>
        <w:snapToGrid w:val="0"/>
        <w:spacing w:line="440" w:lineRule="exact"/>
        <w:ind w:firstLine="420" w:firstLineChars="200"/>
        <w:rPr>
          <w:rFonts w:ascii="宋体" w:hAnsi="宋体"/>
          <w:color w:val="000000"/>
          <w:szCs w:val="21"/>
        </w:rPr>
      </w:pPr>
      <w:r>
        <w:rPr>
          <w:rFonts w:hint="eastAsia" w:ascii="Times New Roman" w:hAnsi="Times New Roman"/>
          <w:color w:val="000000"/>
          <w:szCs w:val="21"/>
        </w:rPr>
        <w:t>若被检产品明示的质量要求低于或包含本细则中检验项目依据的推荐性标准要求时，应以被检产品明示的质量要求判定。</w:t>
      </w:r>
    </w:p>
    <w:p>
      <w:pPr>
        <w:adjustRightInd w:val="0"/>
        <w:snapToGrid w:val="0"/>
        <w:spacing w:line="440" w:lineRule="exact"/>
        <w:ind w:firstLine="417" w:firstLineChars="199"/>
        <w:rPr>
          <w:rFonts w:ascii="Times New Roman" w:hAnsi="Times New Roman"/>
          <w:color w:val="000000"/>
          <w:szCs w:val="21"/>
        </w:rPr>
      </w:pPr>
      <w:r>
        <w:rPr>
          <w:rFonts w:hint="eastAsia" w:ascii="Times New Roman" w:hAnsi="Times New Roman"/>
          <w:color w:val="000000"/>
          <w:szCs w:val="21"/>
        </w:rPr>
        <w:t>若被检产品明示的质量要求缺少本细则中检验项目依据的强制性标准要求时，应按照强制性标准要求判定</w:t>
      </w:r>
      <w:r>
        <w:rPr>
          <w:rFonts w:hint="eastAsia" w:hAnsi="宋体"/>
          <w:color w:val="000000" w:themeColor="text1"/>
          <w14:textFill>
            <w14:solidFill>
              <w14:schemeClr w14:val="tx1"/>
            </w14:solidFill>
          </w14:textFill>
        </w:rPr>
        <w:t>，但应在检验报告备注中进行说明</w:t>
      </w:r>
      <w:r>
        <w:rPr>
          <w:rFonts w:hint="eastAsia" w:ascii="Times New Roman" w:hAnsi="Times New Roman"/>
          <w:color w:val="000000"/>
          <w:szCs w:val="21"/>
        </w:rPr>
        <w:t>。</w:t>
      </w:r>
    </w:p>
    <w:p>
      <w:pPr>
        <w:pStyle w:val="3"/>
        <w:adjustRightInd w:val="0"/>
        <w:snapToGrid w:val="0"/>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若被检产品明示</w:t>
      </w:r>
      <w:r>
        <w:rPr>
          <w:rFonts w:hint="eastAsia" w:hAnsi="宋体"/>
        </w:rPr>
        <w:t>的质量要求（</w:t>
      </w:r>
      <w:r>
        <w:rPr>
          <w:rFonts w:ascii="Times New Roman" w:hAnsi="Times New Roman"/>
          <w:color w:val="000000"/>
        </w:rPr>
        <w:t>仅针对</w:t>
      </w:r>
      <w:r>
        <w:rPr>
          <w:rFonts w:hint="eastAsia" w:ascii="Times New Roman" w:hAnsi="Times New Roman"/>
          <w:color w:val="000000"/>
        </w:rPr>
        <w:t>企业标准、团体标准、地方标准</w:t>
      </w:r>
      <w:r>
        <w:rPr>
          <w:rFonts w:hint="eastAsia" w:hAnsi="宋体"/>
        </w:rPr>
        <w:t>）缺少本细则</w:t>
      </w:r>
      <w:r>
        <w:rPr>
          <w:rFonts w:hint="eastAsia" w:hAnsi="宋体"/>
          <w:color w:val="000000" w:themeColor="text1"/>
          <w14:textFill>
            <w14:solidFill>
              <w14:schemeClr w14:val="tx1"/>
            </w14:solidFill>
          </w14:textFill>
        </w:rPr>
        <w:t>中检验项目依据的推荐性标准要求时，该项目不参与判定，但应在检验报告备注中进行说明。</w:t>
      </w:r>
    </w:p>
    <w:p>
      <w:pPr>
        <w:spacing w:line="440" w:lineRule="exact"/>
        <w:ind w:firstLine="420" w:firstLineChars="200"/>
        <w:rPr>
          <w:rFonts w:ascii="宋体" w:hAnsi="宋体"/>
          <w:color w:val="000000"/>
          <w:szCs w:val="21"/>
        </w:rPr>
      </w:pPr>
      <w:r>
        <w:rPr>
          <w:rFonts w:hint="eastAsia" w:ascii="宋体" w:hAnsi="宋体"/>
          <w:color w:val="000000"/>
          <w:szCs w:val="21"/>
        </w:rPr>
        <w:t>若</w:t>
      </w:r>
      <w:r>
        <w:rPr>
          <w:rFonts w:hint="eastAsia" w:hAnsi="宋体"/>
          <w:color w:val="000000"/>
        </w:rPr>
        <w:t>被检产品</w:t>
      </w:r>
      <w:r>
        <w:rPr>
          <w:rFonts w:hint="eastAsia" w:ascii="宋体" w:hAnsi="宋体"/>
          <w:color w:val="000000"/>
          <w:szCs w:val="21"/>
        </w:rPr>
        <w:t>明示产品标准错误或不适用时，仅检验纤维含量和强制性标准要求项目并判定。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73117"/>
    <w:multiLevelType w:val="multilevel"/>
    <w:tmpl w:val="6CE73117"/>
    <w:lvl w:ilvl="0" w:tentative="0">
      <w:start w:val="1"/>
      <w:numFmt w:val="decimal"/>
      <w:suff w:val="space"/>
      <w:lvlText w:val="%1 "/>
      <w:lvlJc w:val="left"/>
      <w:pPr>
        <w:ind w:left="0" w:firstLine="0"/>
      </w:pPr>
      <w:rPr>
        <w:rFonts w:hint="eastAsia" w:ascii="黑体" w:hAnsi="黑体" w:eastAsia="黑体"/>
        <w:sz w:val="21"/>
      </w:rPr>
    </w:lvl>
    <w:lvl w:ilvl="1" w:tentative="0">
      <w:start w:val="1"/>
      <w:numFmt w:val="decimal"/>
      <w:pStyle w:val="6"/>
      <w:suff w:val="space"/>
      <w:lvlText w:val="%1.%2 "/>
      <w:lvlJc w:val="left"/>
      <w:pPr>
        <w:ind w:left="0" w:firstLine="0"/>
      </w:pPr>
      <w:rPr>
        <w:rFonts w:hint="eastAsia" w:ascii="黑体" w:hAnsi="黑体" w:eastAsia="黑体"/>
      </w:rPr>
    </w:lvl>
    <w:lvl w:ilvl="2" w:tentative="0">
      <w:start w:val="1"/>
      <w:numFmt w:val="decimal"/>
      <w:suff w:val="space"/>
      <w:lvlText w:val="%1.%2.%3 "/>
      <w:lvlJc w:val="left"/>
      <w:pPr>
        <w:ind w:left="0" w:firstLine="0"/>
      </w:pPr>
      <w:rPr>
        <w:rFonts w:hint="eastAsia" w:ascii="黑体" w:hAnsi="黑体" w:eastAsia="黑体"/>
      </w:rPr>
    </w:lvl>
    <w:lvl w:ilvl="3" w:tentative="0">
      <w:start w:val="1"/>
      <w:numFmt w:val="decimal"/>
      <w:suff w:val="space"/>
      <w:lvlText w:val="%1.%2.%3.%4 "/>
      <w:lvlJc w:val="left"/>
      <w:pPr>
        <w:ind w:left="0" w:firstLine="0"/>
      </w:pPr>
      <w:rPr>
        <w:rFonts w:hint="eastAsia" w:ascii="黑体" w:hAnsi="黑体" w:eastAsia="黑体"/>
      </w:rPr>
    </w:lvl>
    <w:lvl w:ilvl="4" w:tentative="0">
      <w:start w:val="1"/>
      <w:numFmt w:val="decimal"/>
      <w:suff w:val="space"/>
      <w:lvlText w:val="%1.%2.%3.%4.%5 "/>
      <w:lvlJc w:val="left"/>
      <w:pPr>
        <w:ind w:left="0" w:firstLine="0"/>
      </w:pPr>
      <w:rPr>
        <w:rFonts w:hint="eastAsia" w:ascii="黑体" w:hAnsi="黑体" w:eastAsia="黑体"/>
      </w:rPr>
    </w:lvl>
    <w:lvl w:ilvl="5" w:tentative="0">
      <w:start w:val="1"/>
      <w:numFmt w:val="decimal"/>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C12"/>
    <w:rsid w:val="00837025"/>
    <w:rsid w:val="00CB0C12"/>
    <w:rsid w:val="073F0530"/>
    <w:rsid w:val="07FB1C6A"/>
    <w:rsid w:val="1B5F3CED"/>
    <w:rsid w:val="2CB3295D"/>
    <w:rsid w:val="38384FD3"/>
    <w:rsid w:val="3AE331F3"/>
    <w:rsid w:val="40AA3B5D"/>
    <w:rsid w:val="4DA93C2A"/>
    <w:rsid w:val="4F8B6F3F"/>
    <w:rsid w:val="511417BE"/>
    <w:rsid w:val="55CF2ABE"/>
    <w:rsid w:val="5A6D2E7F"/>
    <w:rsid w:val="6F1C5C18"/>
    <w:rsid w:val="72BC3BBB"/>
    <w:rsid w:val="73901359"/>
    <w:rsid w:val="79C8340B"/>
    <w:rsid w:val="79CE5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107"/>
    </w:pPr>
    <w:rPr>
      <w:rFonts w:ascii="宋体" w:hAnsi="宋体" w:eastAsia="宋体"/>
      <w:szCs w:val="21"/>
    </w:rPr>
  </w:style>
  <w:style w:type="paragraph" w:styleId="3">
    <w:name w:val="Plain Text"/>
    <w:basedOn w:val="1"/>
    <w:qFormat/>
    <w:uiPriority w:val="0"/>
    <w:rPr>
      <w:rFonts w:ascii="宋体" w:hAnsi="Courier New" w:eastAsia="宋体" w:cs="Times New Roman"/>
      <w:szCs w:val="20"/>
    </w:rPr>
  </w:style>
  <w:style w:type="paragraph" w:customStyle="1" w:styleId="6">
    <w:name w:val="一级条标题"/>
    <w:basedOn w:val="7"/>
    <w:next w:val="8"/>
    <w:qFormat/>
    <w:uiPriority w:val="0"/>
    <w:pPr>
      <w:numPr>
        <w:ilvl w:val="1"/>
        <w:numId w:val="1"/>
      </w:numPr>
      <w:tabs>
        <w:tab w:val="left" w:pos="810"/>
        <w:tab w:val="left" w:pos="1265"/>
      </w:tabs>
      <w:spacing w:before="156" w:beforeLines="50" w:after="156" w:afterLines="50"/>
      <w:outlineLvl w:val="2"/>
    </w:pPr>
    <w:rPr>
      <w:rFonts w:hAnsi="Times New Roman"/>
      <w:color w:val="000000"/>
      <w:szCs w:val="21"/>
    </w:rPr>
  </w:style>
  <w:style w:type="paragraph" w:customStyle="1" w:styleId="7">
    <w:name w:val="章标题"/>
    <w:next w:val="1"/>
    <w:qFormat/>
    <w:uiPriority w:val="99"/>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8">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9">
    <w:name w:val="表格内"/>
    <w:basedOn w:val="1"/>
    <w:qFormat/>
    <w:uiPriority w:val="0"/>
    <w:pPr>
      <w:jc w:val="center"/>
    </w:pPr>
    <w:rPr>
      <w:rFonts w:eastAsia="宋体"/>
      <w:sz w:val="24"/>
    </w:rPr>
  </w:style>
  <w:style w:type="paragraph" w:customStyle="1" w:styleId="10">
    <w:name w:val="图表标题"/>
    <w:basedOn w:val="1"/>
    <w:qFormat/>
    <w:uiPriority w:val="0"/>
    <w:pPr>
      <w:jc w:val="center"/>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1230</Words>
  <Characters>862</Characters>
  <Lines>7</Lines>
  <Paragraphs>4</Paragraphs>
  <TotalTime>4</TotalTime>
  <ScaleCrop>false</ScaleCrop>
  <LinksUpToDate>false</LinksUpToDate>
  <CharactersWithSpaces>2088</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2020-09-16T05:32:00Z</dcterms:created>
  <dc:creator>Administrator</dc:creator>
  <cp:lastModifiedBy>祸害遗千年</cp:lastModifiedBy>
  <dcterms:modified xsi:type="dcterms:W3CDTF">2022-02-14T07:23:21Z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13914EB269B44CE5A96F8924B8169924</vt:lpwstr>
  </property>
</Properties>
</file>