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_GBK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Cs w:val="32"/>
        </w:rPr>
      </w:pPr>
    </w:p>
    <w:p>
      <w:pPr>
        <w:spacing w:line="560" w:lineRule="exact"/>
        <w:rPr>
          <w:rFonts w:ascii="Times New Roman" w:hAnsi="Times New Roman" w:eastAsia="方正小标宋_GBK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忠人社发〔</w:t>
      </w:r>
      <w:r>
        <w:rPr>
          <w:rFonts w:hint="eastAsia"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125</w:t>
      </w:r>
      <w:r>
        <w:rPr>
          <w:rFonts w:ascii="Times New Roman" w:hAnsi="Times New Roman" w:eastAsia="方正仿宋_GBK"/>
          <w:sz w:val="32"/>
          <w:szCs w:val="32"/>
        </w:rPr>
        <w:t xml:space="preserve">号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00" w:leftChars="143" w:hanging="900" w:hangingChars="300"/>
        <w:jc w:val="center"/>
        <w:textAlignment w:val="auto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00" w:leftChars="143" w:hanging="900" w:hangingChars="300"/>
        <w:jc w:val="center"/>
        <w:textAlignment w:val="auto"/>
        <w:rPr>
          <w:rFonts w:ascii="Times New Roman" w:hAnsi="Times New Roman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忠县人力资源和社会保障局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000000"/>
          <w:sz w:val="31"/>
          <w:szCs w:val="31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3"/>
          <w:szCs w:val="43"/>
          <w:lang w:val="en-US" w:eastAsia="zh-CN" w:bidi="ar"/>
        </w:rPr>
        <w:t>关于切实做好重点群体就业服务的通知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各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eastAsia="zh-CN"/>
        </w:rPr>
        <w:t>乡镇人民政府、各街道办事处，有关单位：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为深入贯彻党中央、国务院关于稳住经济大盘和稳就业保就业决策部署，认真落实市第六次党代会精神以及市委、市政府工作要求，统筹做好疫情防控和经济社会发展工作，进一步做实做细就业创业服务，全力以赴促进重点群体就业创业，做到信息“全归集”、政策“全落实”、服务“全覆盖”，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eastAsia="zh-CN"/>
        </w:rPr>
        <w:t>结合我县工作实际，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现就有关事项通知如下：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color w:val="000000"/>
          <w:sz w:val="31"/>
          <w:szCs w:val="31"/>
        </w:rPr>
        <w:t>一、夯实基本公共就业服务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31"/>
          <w:szCs w:val="31"/>
          <w:lang w:val="en-US" w:eastAsia="zh-CN" w:bidi="ar"/>
        </w:rPr>
        <w:t>（一）提供就业指导。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健全重点群体公共就业服务体系完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善动态监测和主动服务机制，对有劳动能力和就业意愿的劳动者，主动对接联系，实施“一人一档”“一人一策”精准帮扶，免费提供政策咨询、岗位信息、职业指导、职业介绍等服务，帮助重点群体尽早实现就业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 w:firstLineChars="200"/>
        <w:textAlignment w:val="auto"/>
        <w:rPr>
          <w:rFonts w:hint="default" w:ascii="Times New Roman" w:hAnsi="Times New Roman" w:eastAsia="方正楷体_GBK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31"/>
          <w:szCs w:val="31"/>
          <w:lang w:val="en-US" w:eastAsia="zh-CN" w:bidi="ar"/>
        </w:rPr>
        <w:t>（二）强化政策落实。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用好大数据比对分析手段，对促进重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点群体就业的各类扶持政策，推行“免申即享”“直补快办”。对个别暂时不具备“免申即享”条件的政策，均实行网上申报，并提供代办帮办服务。进一步优化政策经办流程，加快资金发放进度，确保补贴及时到账、应享尽享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31"/>
          <w:szCs w:val="31"/>
          <w:lang w:val="en-US" w:eastAsia="zh-CN" w:bidi="ar"/>
        </w:rPr>
        <w:t>（三）开展招聘对接。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充分发挥就业服务联盟作用，“公共＋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市场”多渠道搜集招聘岗位信息。采用线上线下相结合的方式，多点联动发布招聘信息。积极探索采取智能化信息手段，通过短信、微信等方式，将招聘岗位和招聘活动信息精准推送至有求职需求的重点群体。定向组织招聘企业，高频次开展重点群体专场小型精准对接活动，提升供需对接成功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</w:pPr>
      <w:r>
        <w:rPr>
          <w:rFonts w:hint="eastAsia" w:ascii="Times New Roman" w:hAnsi="Times New Roman" w:eastAsia="方正楷体_GBK" w:cs="Times New Roman"/>
          <w:color w:val="000000"/>
          <w:kern w:val="0"/>
          <w:sz w:val="31"/>
          <w:szCs w:val="31"/>
          <w:lang w:val="en-US" w:eastAsia="zh-CN" w:bidi="ar"/>
        </w:rPr>
        <w:t>（四）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1"/>
          <w:szCs w:val="31"/>
          <w:lang w:val="en-US" w:eastAsia="zh-CN" w:bidi="ar"/>
        </w:rPr>
        <w:t>实施创业扶持。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结合本地区产业特色和资源禀赋优势，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对有创业意愿的重点群体提供项目推介、创业培训、开业指导、融资服务等“一条龙”创业服务。主动为符合条件的创业者落实创业担保贷款、一次性创业补贴等政策。组建创业导师专家服务团，对创业项目开展后续跟踪服务，把创业者“扶上马、送一程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31"/>
          <w:szCs w:val="31"/>
          <w:lang w:val="en-US" w:eastAsia="zh-CN" w:bidi="ar"/>
        </w:rPr>
        <w:t>（五）加强职业培训。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推广使用职业培训券，引导重点群体自主选择培训项目和培训机构。结合重点产业用工需求，发挥劳务经纪人、人力资源机构作用，“点对点”开展招生宣传、培训推介。加大重点群体培训组织力度，向离校未就业高校毕业生、脱贫人口、登记失业人员等重点群体定向推送培训信息不少于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次。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color w:val="000000"/>
          <w:sz w:val="31"/>
          <w:szCs w:val="31"/>
        </w:rPr>
        <w:t>二、聚焦重点群体实施特色服务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31"/>
          <w:szCs w:val="31"/>
          <w:lang w:val="en-US" w:eastAsia="zh-CN" w:bidi="ar"/>
        </w:rPr>
        <w:t>（一）为高校毕业生等青年群体提供品质化就业服务。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实施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离校未就业高校毕业生服务攻坚行动，促进高校毕业生顺利就业、高质量就业。聚焦有特殊困难的未就业毕业生，组织实施结对帮扶。广泛收集就业岗位，结合区域内行业需求和青年群体求职意愿，重点开展小规模、专业化、有针对性的专场招聘。组织开展就业岗位“云”招聘、职业规划“云”指导、职业技能“云”培训，提供不断线就业服务。实施创业创新扶持，组织创业导师线上提供创业指导服务，指导孵化基地提供一批免费创业工位。汇总公布就业政策清单以及本地服务机构地址和联系电话等信息，加快落实一次性扩岗补助等扶持政策，助力高校毕业生等青年群体就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31"/>
          <w:szCs w:val="31"/>
          <w:lang w:val="en-US" w:eastAsia="zh-CN" w:bidi="ar"/>
        </w:rPr>
        <w:t>（二）为脱贫人口开展稳岗就业服务。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摸清辖区内脱贫人口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就业失业状态，动态掌握就业人员、失业人员、返乡人员、有意愿外出人员“四张清单”。用好川渝合作、“一区两群”工作机制，提高脱贫人口劳务输出组织化程度。做好留乡返乡脱贫人口有序承接，挖掘就近就地就业岗位，支持脱贫人口返乡入乡创业和灵活就业。</w:t>
      </w: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鼓励用人单位招用，支持就业载体吸纳，引导外出务工就业，加大创业支持力度，发挥以工代赈作用，加强公益性岗位开发管理，培育打造劳务品牌，加强职业技能培训，实施“雨露计划+”行动，加大税收减免力度，倾斜支持重点区域，健全监测帮扶机制，加强金融帮扶支持，做好到人到户产业发展，保持脱贫人口、监测对象务工规模总体稳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31"/>
          <w:szCs w:val="31"/>
          <w:lang w:val="en-US" w:eastAsia="zh-CN" w:bidi="ar"/>
        </w:rPr>
        <w:t>（三）为困难人员实施就业援助服务。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实施困难人员就业帮扶专项行动，有力有效促进困难人员就业创业。对长期失业人员，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提供职业指导、心理疏导等关心关爱服务，帮助提振信心、明确方向。对通过市场渠道确实难以实现就业的，通过公益性岗位予以托底安置。对参保失业人员，快速发放失业保险金、失业补助金等失业保险待遇，切实保障其基本生活，按需提供职业介绍、职业培训、创业指导等精准帮扶。统筹做好退捕渔民、淘汰落后产能职工、退役军人、残疾人等群体就业工作，确保就业局势稳定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/>
        <w:textAlignment w:val="auto"/>
        <w:rPr>
          <w:rFonts w:hint="default" w:ascii="Times New Roman" w:hAnsi="Times New Roman" w:eastAsia="方正黑体_GBK" w:cs="Times New Roman"/>
          <w:color w:val="000000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color w:val="000000"/>
          <w:sz w:val="31"/>
          <w:szCs w:val="31"/>
        </w:rPr>
        <w:t>工作要求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31"/>
          <w:szCs w:val="31"/>
          <w:lang w:val="en-US" w:eastAsia="zh-CN" w:bidi="ar"/>
        </w:rPr>
        <w:t>（一）加强组织领导。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要充分认识做好重点群体就业服务工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作的重要性，进一步增强责任感与紧迫感，将稳就业保就业作为当前的中心工作来抓，高度重视、精心实施，细化工作措施，明确责任分工，强化督促检查。要加强部门协同配合，引导市场机构共同参与，形成工作合力，提供多元化就业服务。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eastAsia="zh-CN"/>
        </w:rPr>
        <w:t>县人力社保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局将对重点群体就业解决不好、城镇新增就业完成情况较差、失业风险较高的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eastAsia="zh-CN"/>
        </w:rPr>
        <w:t>乡镇（街道）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开展定点指导。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31"/>
          <w:szCs w:val="31"/>
          <w:lang w:val="en-US" w:eastAsia="zh-CN" w:bidi="ar"/>
        </w:rPr>
        <w:t>（二）夯实数据基础。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做实全县人力资源信息库，摸清摸准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重点群体基础信息和服务需求，建立数据质量核查机制，及时发现更正逻辑错误、前后矛盾信息，保障数据质量。及时录入就业信息系统，就业政策、线上开展的服务事项应实行“全流程”系统经办；通过线下窗口、电话、入户等渠道开展的服务事项应录入系统公共人才服务管理板块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31"/>
          <w:szCs w:val="31"/>
          <w:lang w:val="en-US" w:eastAsia="zh-CN" w:bidi="ar"/>
        </w:rPr>
        <w:t>（三）加大调度力度。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发挥“一库四联盟”作用，围绕年度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eastAsia="zh-CN"/>
        </w:rPr>
        <w:t>目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标任务完成情况、就业政策落实情况、重点群体就业失业情况，定期开展数据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eastAsia="zh-CN"/>
        </w:rPr>
        <w:t>分析通报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，分析问题原因，制定针对性整改措施，促进就业政策精准匹配、就业服务高效便民。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color w:val="000000"/>
          <w:kern w:val="0"/>
          <w:sz w:val="31"/>
          <w:szCs w:val="31"/>
          <w:lang w:val="en-US" w:eastAsia="zh-CN" w:bidi="ar"/>
        </w:rPr>
        <w:t>（四）强化安全保障。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要按照疫情防控和安全生产有关要求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</w:rPr>
        <w:t>做好招聘对接、职业技能培训、职业指导等线下就业服务，确保安全有序。加强信息安全保障，严格设定重点群体个人信息使用范围，强化各级各类信息平台系统安全防护。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3416" w:firstLineChars="1102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3416" w:firstLineChars="1102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3726" w:firstLineChars="1202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eastAsia="zh-CN"/>
        </w:rPr>
        <w:t>忠县人力资源和社会保障局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4346" w:firstLineChars="1402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2022年7月19日</w:t>
      </w: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</w:pPr>
    </w:p>
    <w:p>
      <w:pPr>
        <w:pStyle w:val="3"/>
        <w:rPr>
          <w:rFonts w:hint="default" w:ascii="Times New Roman" w:hAnsi="Times New Roman"/>
        </w:rPr>
      </w:pPr>
    </w:p>
    <w:p>
      <w:pPr>
        <w:rPr>
          <w:rFonts w:hint="default" w:ascii="Times New Roman" w:hAnsi="Times New Roman"/>
        </w:rPr>
      </w:pPr>
    </w:p>
    <w:p>
      <w:pPr>
        <w:pStyle w:val="2"/>
        <w:rPr>
          <w:rFonts w:hint="default" w:ascii="Times New Roman" w:hAnsi="Times New Roman"/>
        </w:rPr>
      </w:pPr>
    </w:p>
    <w:p>
      <w:pPr>
        <w:pStyle w:val="2"/>
        <w:rPr>
          <w:rFonts w:hint="default" w:ascii="Times New Roman" w:hAnsi="Times New Roman"/>
        </w:rPr>
      </w:pPr>
    </w:p>
    <w:p>
      <w:pPr>
        <w:rPr>
          <w:rFonts w:hint="default" w:ascii="Times New Roman" w:hAnsi="Times New Roman"/>
        </w:rPr>
      </w:pPr>
    </w:p>
    <w:p>
      <w:pPr>
        <w:pStyle w:val="2"/>
        <w:rPr>
          <w:rFonts w:hint="default" w:ascii="Times New Roman" w:hAnsi="Times New Roman"/>
        </w:rPr>
      </w:pPr>
    </w:p>
    <w:p>
      <w:pPr>
        <w:pStyle w:val="3"/>
        <w:rPr>
          <w:rFonts w:hint="default" w:ascii="Times New Roman" w:hAnsi="Times New Roman"/>
        </w:rPr>
      </w:pPr>
    </w:p>
    <w:p>
      <w:pPr>
        <w:rPr>
          <w:rFonts w:hint="default" w:ascii="Times New Roman" w:hAnsi="Times New Roman"/>
        </w:rPr>
      </w:pPr>
    </w:p>
    <w:p>
      <w:pPr>
        <w:pStyle w:val="2"/>
        <w:rPr>
          <w:rFonts w:hint="default" w:ascii="Times New Roman" w:hAnsi="Times New Roman"/>
        </w:rPr>
      </w:pPr>
    </w:p>
    <w:p>
      <w:pPr>
        <w:spacing w:line="480" w:lineRule="exact"/>
        <w:rPr>
          <w:rFonts w:hint="eastAsia" w:ascii="Times New Roman" w:hAnsi="Times New Roman" w:eastAsia="方正仿宋_GBK"/>
          <w:sz w:val="24"/>
        </w:rPr>
      </w:pPr>
      <w:r>
        <w:rPr>
          <w:rFonts w:ascii="Times New Roman" w:hAnsi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8754110</wp:posOffset>
                </wp:positionV>
                <wp:extent cx="466725" cy="495300"/>
                <wp:effectExtent l="4445" t="4445" r="5080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9pt;margin-top:689.3pt;height:39pt;width:36.75pt;z-index:251666432;mso-width-relative:page;mso-height-relative:page;" fillcolor="#FFFFFF" filled="t" stroked="t" coordsize="21600,21600" o:gfxdata="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teWNL2gAAAA0BAAAPAAAAAAAAAAEAIAAAADgAAABkcnMvZG93bnJldi54bWxQ&#10;SwECFAAUAAAACACHTuJAf2T6Zt8BAADSAwAADgAAAAAAAAABACAAAAA/AQAAZHJzL2Uyb0RvYy54&#10;bWxQSwUGAAAAAAYABgBZAQAAkAUAAAAA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8915400</wp:posOffset>
                </wp:positionV>
                <wp:extent cx="457200" cy="396240"/>
                <wp:effectExtent l="4445" t="4445" r="14605" b="18415"/>
                <wp:wrapTight wrapText="bothSides">
                  <wp:wrapPolygon>
                    <wp:start x="-210" y="-242"/>
                    <wp:lineTo x="-210" y="20527"/>
                    <wp:lineTo x="20670" y="20527"/>
                    <wp:lineTo x="20670" y="-242"/>
                    <wp:lineTo x="-210" y="-242"/>
                  </wp:wrapPolygon>
                </wp:wrapTight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7pt;margin-top:702pt;height:31.2pt;width:36pt;mso-wrap-distance-left:9pt;mso-wrap-distance-right:9pt;z-index:251665408;mso-width-relative:page;mso-height-relative:page;" fillcolor="#FFFFFF" filled="t" stroked="t" coordsize="21600,21600" wrapcoords="-210 -242 -210 20527 20670 20527 20670 -242 -210 -242" o:gfxdata="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p+sIf1wAAAA0BAAAPAAAAAAAAAAEAIAAAADgAAABkcnMvZG93bnJldi54bWxQSwEC&#10;FAAUAAAACACHTuJAc/6x998BAADSAwAADgAAAAAAAAABACAAAAA8AQAAZHJzL2Uyb0RvYy54bWxQ&#10;SwUGAAAAAAYABgBZAQAAjQUAAAAA&#10;">
                <v:fill on="t" focussize="0,0"/>
                <v:stroke color="#FFFFFF" joinstyle="miter"/>
                <v:imagedata o:title=""/>
                <o:lock v:ext="edit" aspectratio="f"/>
                <w10:wrap type="tight"/>
              </v:rect>
            </w:pict>
          </mc:Fallback>
        </mc:AlternateContent>
      </w:r>
      <w:r>
        <w:rPr>
          <w:rFonts w:ascii="Times New Roman" w:hAnsi="Times New Roman" w:eastAsia="方正仿宋_GBK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229235</wp:posOffset>
                </wp:positionV>
                <wp:extent cx="53721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8.05pt;height:0pt;width:423pt;z-index:251663360;mso-width-relative:page;mso-height-relative:page;" filled="f" stroked="t" coordsize="21600,21600" o:gfxdata="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7I+OT1QAAAAYBAAAPAAAAAAAAAAEAIAAAADgAAABkcnMvZG93bnJldi54bWxQSwECFAAUAAAA&#10;CACHTuJAz8AkG9sBAACaAwAADgAAAAAAAAABACAAAAA6AQAAZHJzL2Uyb0RvYy54bWxQSwUGAAAA&#10;AAYABgBZAQAAh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right" w:pos="7478"/>
        </w:tabs>
        <w:spacing w:line="400" w:lineRule="exact"/>
        <w:ind w:firstLine="280" w:firstLineChars="100"/>
        <w:jc w:val="both"/>
        <w:rPr>
          <w:rFonts w:hint="default" w:ascii="Times New Roman" w:hAnsi="Times New Roman"/>
        </w:rPr>
      </w:pPr>
      <w:r>
        <w:rPr>
          <w:rFonts w:ascii="Times New Roman" w:hAnsi="Times New Roman" w:eastAsia="方正仿宋_GBK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53721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3pt;height:0pt;width:423pt;z-index:251664384;mso-width-relative:page;mso-height-relative:page;" filled="f" stroked="t" coordsize="21600,21600" o:gfxdata="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AIMzq7UAAAABgEAAA8AAAAAAAAAAQAgAAAAOAAAAGRycy9kb3ducmV2LnhtbFBLAQIUABQAAAAI&#10;AIdO4kCyZ5GF2wEAAJoDAAAOAAAAAAAAAAEAIAAAADkBAABkcnMvZTJvRG9jLnhtbFBLBQYAAAAA&#10;BgAGAFkBAACG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color w:val="000000"/>
          <w:sz w:val="28"/>
          <w:szCs w:val="28"/>
        </w:rPr>
        <w:t>忠县人力资源和社会保障局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eastAsia="zh-CN"/>
        </w:rPr>
        <w:t>办公室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   20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2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方正仿宋_GBK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方正仿宋_GBK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val="en-US" w:eastAsia="zh-CN"/>
        </w:rPr>
        <w:t>19</w:t>
      </w:r>
      <w:r>
        <w:rPr>
          <w:rFonts w:ascii="Times New Roman" w:hAnsi="Times New Roman" w:eastAsia="方正仿宋_GBK"/>
          <w:color w:val="000000"/>
          <w:sz w:val="28"/>
          <w:szCs w:val="28"/>
        </w:rPr>
        <w:t>日印</w:t>
      </w:r>
      <w:r>
        <w:rPr>
          <w:rFonts w:hint="eastAsia" w:ascii="Times New Roman" w:hAnsi="Times New Roman" w:eastAsia="方正仿宋_GBK"/>
          <w:color w:val="000000"/>
          <w:sz w:val="28"/>
          <w:szCs w:val="28"/>
          <w:lang w:eastAsia="zh-CN"/>
        </w:rPr>
        <w:t>发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-671830</wp:posOffset>
                </wp:positionH>
                <wp:positionV relativeFrom="paragraph">
                  <wp:posOffset>448310</wp:posOffset>
                </wp:positionV>
                <wp:extent cx="466725" cy="495300"/>
                <wp:effectExtent l="4445" t="4445" r="5080" b="1460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2.9pt;margin-top:35.3pt;height:39pt;width:36.75pt;z-index:251667456;mso-width-relative:page;mso-height-relative:page;" fillcolor="#FFFFFF" filled="t" stroked="t" coordsize="21600,21600" o:gfxdata="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mvDVKNkAAAALAQAADwAAAAAAAAABACAAAAA4AAAAZHJzL2Rvd25yZXYueG1sUEsB&#10;AhQAFAAAAAgAh07iQISRqHjeAQAA0gMAAA4AAAAAAAAAAQAgAAAAPgEAAGRycy9lMm9Eb2MueG1s&#10;UEsFBgAAAAAGAAYAWQEAAI4FAAAAAA=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-671830</wp:posOffset>
                </wp:positionH>
                <wp:positionV relativeFrom="paragraph">
                  <wp:posOffset>448310</wp:posOffset>
                </wp:positionV>
                <wp:extent cx="466725" cy="495300"/>
                <wp:effectExtent l="4445" t="4445" r="5080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2.9pt;margin-top:35.3pt;height:39pt;width:36.75pt;z-index:251662336;mso-width-relative:page;mso-height-relative:page;" fillcolor="#FFFFFF" filled="t" stroked="t" coordsize="21600,21600" o:gfxdata="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Jrw1SjZAAAACwEAAA8AAAAAAAAAAQAgAAAAOAAAAGRycy9kb3ducmV2LnhtbFBL&#10;AQIUABQAAAAIAIdO4kCTPrS33wEAANIDAAAOAAAAAAAAAAEAIAAAAD4BAABkcnMvZTJvRG9jLnht&#10;bFBLBQYAAAAABgAGAFkBAACPBQAAAAA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DF14D"/>
    <w:multiLevelType w:val="singleLevel"/>
    <w:tmpl w:val="664DF14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ZTE1NDJmZjRmYTk2ZmQ4N2ZlNTQ3MDk0MjI0YmEifQ=="/>
  </w:docVars>
  <w:rsids>
    <w:rsidRoot w:val="00000000"/>
    <w:rsid w:val="06765138"/>
    <w:rsid w:val="09A835D2"/>
    <w:rsid w:val="124D4697"/>
    <w:rsid w:val="139F3409"/>
    <w:rsid w:val="21A71BE2"/>
    <w:rsid w:val="2F927575"/>
    <w:rsid w:val="2F94526D"/>
    <w:rsid w:val="387779BA"/>
    <w:rsid w:val="408836A8"/>
    <w:rsid w:val="414937FA"/>
    <w:rsid w:val="43871DCC"/>
    <w:rsid w:val="4D034BE2"/>
    <w:rsid w:val="4F903C61"/>
    <w:rsid w:val="532739D6"/>
    <w:rsid w:val="5927095E"/>
    <w:rsid w:val="594D3454"/>
    <w:rsid w:val="691F31EE"/>
    <w:rsid w:val="69F7589F"/>
    <w:rsid w:val="72CD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 w:val="32"/>
      <w:szCs w:val="32"/>
    </w:rPr>
  </w:style>
  <w:style w:type="paragraph" w:styleId="3">
    <w:name w:val="toc 5"/>
    <w:basedOn w:val="1"/>
    <w:next w:val="1"/>
    <w:qFormat/>
    <w:uiPriority w:val="0"/>
    <w:pPr>
      <w:spacing w:line="600" w:lineRule="exact"/>
      <w:ind w:firstLine="200" w:firstLineChars="200"/>
      <w:jc w:val="left"/>
    </w:pPr>
    <w:rPr>
      <w:rFonts w:ascii="方正黑体_GBK" w:hAnsi="Calibri" w:eastAsia="方正黑体_GBK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2316</Words>
  <Characters>2325</Characters>
  <Lines>0</Lines>
  <Paragraphs>0</Paragraphs>
  <TotalTime>3</TotalTime>
  <ScaleCrop>false</ScaleCrop>
  <LinksUpToDate>false</LinksUpToDate>
  <CharactersWithSpaces>2402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Administrator.2013-20150527PQ</dc:creator>
  <cp:lastModifiedBy>县人力社保局收发员</cp:lastModifiedBy>
  <cp:lastPrinted>2022-07-21T10:16:00Z</cp:lastPrinted>
  <dcterms:modified xsi:type="dcterms:W3CDTF">2022-08-04T15:57:19Z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AC76DAA0FCD643C494E42A0F9B69F3A8</vt:lpwstr>
  </property>
</Properties>
</file>