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0"/>
        <w:jc w:val="center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0"/>
        <w:jc w:val="center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i w:val="0"/>
          <w:caps w:val="0"/>
          <w:color w:val="000000"/>
          <w:spacing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i w:val="0"/>
          <w:caps w:val="0"/>
          <w:color w:val="000000"/>
          <w:spacing w:val="0"/>
          <w:sz w:val="44"/>
          <w:szCs w:val="44"/>
          <w:shd w:val="clear" w:fill="FFFFFF"/>
        </w:rPr>
        <w:t>忠县房屋建筑工程（或房屋）水电气通信电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i w:val="0"/>
          <w:caps w:val="0"/>
          <w:color w:val="000000"/>
          <w:spacing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i w:val="0"/>
          <w:caps w:val="0"/>
          <w:color w:val="000000"/>
          <w:spacing w:val="0"/>
          <w:sz w:val="44"/>
          <w:szCs w:val="44"/>
          <w:shd w:val="clear" w:fill="FFFFFF"/>
        </w:rPr>
        <w:t>视设施安装及混凝土供应管理办法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0"/>
        <w:jc w:val="center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忠府办发〔2013〕48号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0"/>
        <w:jc w:val="left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 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420"/>
        <w:jc w:val="left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为进一步加强违法建设的防控，健全和完善防治违法建设联动工作机制，推动建设市场健康发展，维护人民群众的合法权益，特制定水、电、气、通信、有线电视设施安装及商品混凝土供应管理办法。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  <w:shd w:val="clear" w:fill="FFFFFF"/>
        </w:rPr>
        <w:t>第一条</w:t>
      </w: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供水、供电、供气、通信、有线电视和商品混凝土供应企业在受理房屋建筑工程（或房屋）新安装水、电、气、通信、有线电视等设施和商品混凝土供应申请时，除要求申请人提供行业资料外，还必须要求申请人提供房屋建筑工程（或房屋）的建设合法性审查证明。未提供合法性审查证明的，不得受理或提供服务。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</w:rPr>
      </w:pPr>
      <w:r>
        <w:rPr>
          <w:rFonts w:hint="default" w:ascii="黑体" w:hAnsi="黑体" w:eastAsia="黑体" w:cs="黑体"/>
          <w:i w:val="0"/>
          <w:caps w:val="0"/>
          <w:color w:val="000000"/>
          <w:spacing w:val="0"/>
          <w:sz w:val="32"/>
          <w:szCs w:val="32"/>
          <w:shd w:val="clear" w:fill="FFFFFF"/>
        </w:rPr>
        <w:t>第二条</w:t>
      </w: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县城规划区及国有土地上的各类房屋建筑工程（或房屋）由县综合执法局负责审查其合法性并出具审查证明；其余房屋建筑工程（或房屋）由各镇（乡）人民政府负责审查其建设合法性并出具审查证明。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</w:rPr>
      </w:pPr>
      <w:r>
        <w:rPr>
          <w:rFonts w:hint="default" w:ascii="黑体" w:hAnsi="黑体" w:eastAsia="黑体" w:cs="黑体"/>
          <w:i w:val="0"/>
          <w:caps w:val="0"/>
          <w:color w:val="000000"/>
          <w:spacing w:val="0"/>
          <w:sz w:val="32"/>
          <w:szCs w:val="32"/>
          <w:shd w:val="clear" w:fill="FFFFFF"/>
        </w:rPr>
        <w:t>第三条</w:t>
      </w: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县综合执法局和各镇（乡）人民政府应落实专门机构，负责审查申请人的申请事项。对没有取得《建设工程规划许可证》或《乡村建设规划许可证》、《建设用地批准书》或《土地使用权证》、《建设工程施工许可证》等合法建设手续及其他有效证件的房屋建筑工程（或房屋），不得出具审查证明，应责令申请人完备相关的行政许可审批。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</w:rPr>
      </w:pPr>
      <w:r>
        <w:rPr>
          <w:rFonts w:hint="default" w:ascii="黑体" w:hAnsi="黑体" w:eastAsia="黑体" w:cs="黑体"/>
          <w:i w:val="0"/>
          <w:caps w:val="0"/>
          <w:color w:val="000000"/>
          <w:spacing w:val="0"/>
          <w:sz w:val="32"/>
          <w:szCs w:val="32"/>
          <w:shd w:val="clear" w:fill="FFFFFF"/>
        </w:rPr>
        <w:t>第四条</w:t>
      </w: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县综合执法局和各镇（乡）人民政府要严格落实过程监管责任。对房屋建筑工程（或房屋）施工过程及房屋水、电、气、通信、有线电视设施安装情况要严格进行监督。对申请人擅自改变行政许可审批内容实施建设的，要及时通知供电、商品混凝土企业停止服务，并依法严肃查处，严禁房屋建筑工程（或房屋）“长高长胖”，杜绝违法建（构）筑物产生。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</w:rPr>
      </w:pPr>
      <w:r>
        <w:rPr>
          <w:rFonts w:hint="default" w:ascii="黑体" w:hAnsi="黑体" w:eastAsia="黑体" w:cs="黑体"/>
          <w:i w:val="0"/>
          <w:caps w:val="0"/>
          <w:color w:val="000000"/>
          <w:spacing w:val="0"/>
          <w:sz w:val="32"/>
          <w:szCs w:val="32"/>
          <w:shd w:val="clear" w:fill="FFFFFF"/>
        </w:rPr>
        <w:t>第五条</w:t>
      </w: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供水、供电、供气、电信、移动、联通、有线电视、商品混凝土供应等单位应严格按照本办法要求，规范经营和服务行为。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</w:rPr>
      </w:pPr>
      <w:r>
        <w:rPr>
          <w:rFonts w:hint="default" w:ascii="黑体" w:hAnsi="黑体" w:eastAsia="黑体" w:cs="黑体"/>
          <w:i w:val="0"/>
          <w:caps w:val="0"/>
          <w:color w:val="000000"/>
          <w:spacing w:val="0"/>
          <w:sz w:val="32"/>
          <w:szCs w:val="32"/>
          <w:shd w:val="clear" w:fill="FFFFFF"/>
        </w:rPr>
        <w:t>第六条</w:t>
      </w: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对违规出具房屋建筑工程（或房屋）合法性审查证明的，由纪检监察部门责令改正，并追究其直接负责的主管人员、经办人员的责任。对造成严重后果的，依法追究刑事责任。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</w:rPr>
      </w:pPr>
      <w:r>
        <w:rPr>
          <w:rFonts w:hint="default" w:ascii="黑体" w:hAnsi="黑体" w:eastAsia="黑体" w:cs="黑体"/>
          <w:i w:val="0"/>
          <w:caps w:val="0"/>
          <w:color w:val="000000"/>
          <w:spacing w:val="0"/>
          <w:sz w:val="32"/>
          <w:szCs w:val="32"/>
          <w:shd w:val="clear" w:fill="FFFFFF"/>
        </w:rPr>
        <w:t>第七条</w:t>
      </w: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对为违法建筑提供水、电、气、通信、有线电视及商品混凝土服务的单位，由其行业主管部门责令改正，对造成严重后果的，依法追究刑事责任。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</w:rPr>
      </w:pPr>
      <w:r>
        <w:rPr>
          <w:rFonts w:hint="default" w:ascii="黑体" w:hAnsi="黑体" w:eastAsia="黑体" w:cs="黑体"/>
          <w:i w:val="0"/>
          <w:caps w:val="0"/>
          <w:color w:val="000000"/>
          <w:spacing w:val="0"/>
          <w:sz w:val="32"/>
          <w:szCs w:val="32"/>
          <w:shd w:val="clear" w:fill="FFFFFF"/>
        </w:rPr>
        <w:t>第八条</w:t>
      </w: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全县新建、在建、竣工各类房屋建筑工程（或房屋）的水、电、气、通信、有线电视设施安装和商品混凝土供应管理适用本办法。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</w:rPr>
      </w:pPr>
      <w:r>
        <w:rPr>
          <w:rFonts w:hint="default" w:ascii="黑体" w:hAnsi="黑体" w:eastAsia="黑体" w:cs="黑体"/>
          <w:i w:val="0"/>
          <w:caps w:val="0"/>
          <w:color w:val="000000"/>
          <w:spacing w:val="0"/>
          <w:sz w:val="32"/>
          <w:szCs w:val="32"/>
          <w:shd w:val="clear" w:fill="FFFFFF"/>
        </w:rPr>
        <w:t>第九条</w:t>
      </w: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本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办法由忠县防治违法建设工作领导小组办公室负责解释。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</w:rPr>
      </w:pPr>
      <w:r>
        <w:rPr>
          <w:rFonts w:hint="default" w:ascii="黑体" w:hAnsi="黑体" w:eastAsia="黑体" w:cs="黑体"/>
          <w:i w:val="0"/>
          <w:caps w:val="0"/>
          <w:color w:val="000000"/>
          <w:spacing w:val="0"/>
          <w:sz w:val="32"/>
          <w:szCs w:val="32"/>
          <w:shd w:val="clear" w:fill="FFFFFF"/>
        </w:rPr>
        <w:t>第十条</w:t>
      </w: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本办法自印发之日起施行。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420"/>
        <w:jc w:val="left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 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420"/>
        <w:jc w:val="right"/>
        <w:textAlignment w:val="auto"/>
        <w:rPr>
          <w:rFonts w:hint="eastAsia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忠县人民政府办公</w:t>
      </w:r>
      <w:r>
        <w:rPr>
          <w:rFonts w:hint="eastAsia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室  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420"/>
        <w:jc w:val="right"/>
        <w:textAlignment w:val="auto"/>
        <w:rPr>
          <w:rFonts w:hint="eastAsia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2013年5月15日   </w:t>
      </w:r>
      <w:r>
        <w:rPr>
          <w:rFonts w:hint="eastAsia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1962" w:right="1474" w:bottom="1848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金梅毛楷體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Dotu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icrosoft JhengHei Light">
    <w:panose1 w:val="020B0304030504040204"/>
    <w:charset w:val="88"/>
    <w:family w:val="auto"/>
    <w:pitch w:val="default"/>
    <w:sig w:usb0="800002A7" w:usb1="28CF4400" w:usb2="00000016" w:usb3="00000000" w:csb0="00100009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叶根友毛笔行书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宋体-PUA">
    <w:panose1 w:val="02010600030101010101"/>
    <w:charset w:val="86"/>
    <w:family w:val="auto"/>
    <w:pitch w:val="default"/>
    <w:sig w:usb0="00000000" w:usb1="1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文鼎CS大隶书"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文鼎CS魏碑"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方正中倩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活意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黑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细珊瑚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细珊瑚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细圆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细圆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细倩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细倩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圆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粗圆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书宋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平和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平黑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幼线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康体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彩云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报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报宋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细黑一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隶书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魏碑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菱心体简">
    <w:panose1 w:val="02010609000101010101"/>
    <w:charset w:val="86"/>
    <w:family w:val="auto"/>
    <w:pitch w:val="default"/>
    <w:sig w:usb0="00000001" w:usb1="080E0800" w:usb2="00000002" w:usb3="00000000" w:csb0="00040000" w:csb1="00000000"/>
  </w:font>
  <w:font w:name="Dotu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Microsoft JhengHei UI Light">
    <w:panose1 w:val="020B0304030504040204"/>
    <w:charset w:val="88"/>
    <w:family w:val="auto"/>
    <w:pitch w:val="default"/>
    <w:sig w:usb0="800002A7" w:usb1="28CF4400" w:usb2="00000016" w:usb3="00000000" w:csb0="00100009" w:csb1="00000000"/>
  </w:font>
  <w:font w:name="Microsoft YaHei UI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方正北魏楷书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北魏楷书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华隶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卡通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中倩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egoe UI Black">
    <w:panose1 w:val="020B0A02040204020203"/>
    <w:charset w:val="00"/>
    <w:family w:val="auto"/>
    <w:pitch w:val="default"/>
    <w:sig w:usb0="E00002FF" w:usb1="4000E47F" w:usb2="00000021" w:usb3="00000000" w:csb0="2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Segoe Script">
    <w:panose1 w:val="030B0504020000000003"/>
    <w:charset w:val="00"/>
    <w:family w:val="auto"/>
    <w:pitch w:val="default"/>
    <w:sig w:usb0="0000028F" w:usb1="00000000" w:usb2="00000000" w:usb3="00000000" w:csb0="000000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egoe MDL2 Assets">
    <w:panose1 w:val="050A0102010101010101"/>
    <w:charset w:val="00"/>
    <w:family w:val="auto"/>
    <w:pitch w:val="default"/>
    <w:sig w:usb0="00000000" w:usb1="10000000" w:usb2="00000000" w:usb3="00000000" w:csb0="00000001" w:csb1="00000000"/>
  </w:font>
  <w:font w:name="Palatino Linotype">
    <w:panose1 w:val="02040502050505030304"/>
    <w:charset w:val="00"/>
    <w:family w:val="auto"/>
    <w:pitch w:val="default"/>
    <w:sig w:usb0="E0000287" w:usb1="40000013" w:usb2="00000000" w:usb3="00000000" w:csb0="2000019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Webdings">
    <w:panose1 w:val="05030102010509060703"/>
    <w:charset w:val="00"/>
    <w:family w:val="auto"/>
    <w:pitch w:val="default"/>
    <w:sig w:usb0="00000000" w:usb1="00000000" w:usb2="00000000" w:usb3="00000000" w:csb0="80000000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Times New Roman Regular">
    <w:altName w:val="Times New Roman"/>
    <w:panose1 w:val="02020603050405020304"/>
    <w:charset w:val="00"/>
    <w:family w:val="auto"/>
    <w:pitch w:val="default"/>
    <w:sig w:usb0="00000000" w:usb1="00000000" w:usb2="00000009" w:usb3="00000000" w:csb0="400001FF" w:csb1="FFFF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keepNext w:val="0"/>
      <w:keepLines w:val="0"/>
      <w:pageBreakBefore w:val="0"/>
      <w:widowControl w:val="0"/>
      <w:kinsoku/>
      <w:wordWrap w:val="0"/>
      <w:overflowPunct/>
      <w:topLinePunct w:val="0"/>
      <w:autoSpaceDE/>
      <w:autoSpaceDN/>
      <w:bidi w:val="0"/>
      <w:adjustRightInd/>
      <w:snapToGrid w:val="0"/>
      <w:spacing w:before="0" w:beforeLines="100" w:line="240" w:lineRule="auto"/>
      <w:ind w:left="1065" w:leftChars="507" w:right="0" w:rightChars="0" w:firstLine="10115" w:firstLineChars="3161"/>
      <w:jc w:val="right"/>
      <w:textAlignment w:val="auto"/>
      <w:outlineLvl w:val="9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  <w:r>
      <w:rPr>
        <w:color w:val="FAFAFA"/>
        <w:sz w:val="32"/>
      </w:rPr>
      <mc:AlternateContent>
        <mc:Choice Requires="wps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column">
                <wp:posOffset>-1270</wp:posOffset>
              </wp:positionH>
              <wp:positionV relativeFrom="paragraph">
                <wp:posOffset>312420</wp:posOffset>
              </wp:positionV>
              <wp:extent cx="5616575" cy="1905"/>
              <wp:effectExtent l="0" t="0" r="0" b="0"/>
              <wp:wrapNone/>
              <wp:docPr id="3" name="直接连接符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6575" cy="1905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1pt;margin-top:24.6pt;height:0.15pt;width:442.25pt;z-index:251671552;mso-width-relative:page;mso-height-relative:page;" filled="f" stroked="t" coordsize="21600,21600" o:gfxdata="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BmMo7K1AAAAAcBAAAPAAAAAAAAAAEAIAAAACIAAABkcnMv&#10;ZG93bnJldi54bWxQSwECFAAUAAAACACHTuJAF92YVs4BAABnAwAADgAAAAAAAAABACAAAAAjAQAA&#10;ZHJzL2Uyb0RvYy54bWxQSwUGAAAAAAYABgBZAQAAYwUAAAAA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  <w:r>
      <w:rPr>
        <w:sz w:val="32"/>
      </w:rPr>
      <mc:AlternateContent>
        <mc:Choice Requires="wps">
          <w:drawing>
            <wp:anchor distT="0" distB="0" distL="114300" distR="114300" simplePos="0" relativeHeight="25167257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7257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7QmRUUAgAAEwQAAA4AAABkcnMvZTJvRG9jLnhtbK1TTY7TMBTeI3EH&#10;y3uatKi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9fT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XtCZFR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Theme="minorEastAsia"/>
                        <w:sz w:val="1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default" w:ascii="宋体" w:hAnsi="宋体" w:eastAsia="宋体" w:cs="宋体"/>
        <w:b/>
        <w:bCs/>
        <w:color w:val="005192"/>
        <w:sz w:val="28"/>
        <w:szCs w:val="44"/>
        <w:lang w:eastAsia="zh-Hans"/>
      </w:rPr>
      <w:t>X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  <w:t xml:space="preserve">忠县人民政府办公室发布     </w:t>
    </w:r>
  </w:p>
  <w:p>
    <w:pPr>
      <w:pStyle w:val="2"/>
    </w:pP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  <w:p>
    <w:pPr>
      <w:pStyle w:val="3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</w:pPr>
    <w:r>
      <w:rPr>
        <w:rFonts w:hint="eastAsia" w:ascii="方正仿宋_GBK" w:hAnsi="方正仿宋_GBK" w:eastAsia="方正仿宋_GBK" w:cs="方正仿宋_GBK"/>
        <w:b/>
        <w:bCs/>
        <w:color w:val="000000" w:themeColor="text1"/>
        <w:sz w:val="32"/>
        <w14:textFill>
          <w14:solidFill>
            <w14:schemeClr w14:val="tx1"/>
          </w14:solidFill>
        </w14:textFill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407035</wp:posOffset>
              </wp:positionV>
              <wp:extent cx="5620385" cy="0"/>
              <wp:effectExtent l="0" t="0" r="0" b="0"/>
              <wp:wrapNone/>
              <wp:docPr id="4" name="直接连接符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20385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32.05pt;height:0pt;width:442.55pt;z-index:251660288;mso-width-relative:page;mso-height-relative:page;" filled="f" stroked="t" coordsize="21600,21600" o:gfxdata="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A7hTLrTAAAABgEAAA8AAAAAAAAAAQAgAAAAIgAAAGRycy9kb3du&#10;cmV2LnhtbFBLAQIUABQAAAAIAIdO4kBMsxWgywEAAGQDAAAOAAAAAAAAAAEAIAAAACIBAABkcnMv&#10;ZTJvRG9jLnhtbFBLBQYAAAAABgAGAFkBAABfBQAAAAA=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 w:ascii="宋体" w:hAnsi="宋体" w:eastAsia="宋体" w:cs="宋体"/>
        <w:b/>
        <w:bCs/>
        <w:color w:val="005192"/>
        <w:sz w:val="32"/>
      </w:rPr>
      <w:drawing>
        <wp:inline distT="0" distB="0" distL="114300" distR="114300">
          <wp:extent cx="308610" cy="308610"/>
          <wp:effectExtent l="0" t="0" r="15240" b="15240"/>
          <wp:docPr id="2" name="图片 2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005192"/>
        <w:sz w:val="32"/>
        <w:lang w:val="en-US" w:eastAsia="zh-CN"/>
      </w:rPr>
      <w:t>忠县人民政府行政</w:t>
    </w:r>
    <w:r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Hans"/>
      </w:rPr>
      <w:t>规范性文件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7E06D4"/>
    <w:rsid w:val="21010FB5"/>
    <w:rsid w:val="3C7E0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sfj</Company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2022-06-09T06:30:00Z</dcterms:created>
  <dc:creator>Administrator</dc:creator>
  <cp:lastModifiedBy>Administrator</cp:lastModifiedBy>
  <dcterms:modified xsi:type="dcterms:W3CDTF">2022-06-12T03:24:54Z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</Properties>
</file>