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default" w:ascii="Times New Roman" w:hAnsi="Times New Roman" w:eastAsia="方正仿宋_GBK" w:cs="Times New Roman"/>
          <w:i w:val="0"/>
          <w:caps w:val="0"/>
          <w:color w:val="000000"/>
          <w:spacing w:val="0"/>
          <w:sz w:val="32"/>
          <w:szCs w:val="32"/>
          <w:shd w:val="clear" w:fill="FFFFFF"/>
        </w:rPr>
        <w:br w:type="textWrapping"/>
      </w:r>
      <w:r>
        <w:rPr>
          <w:rFonts w:hint="eastAsia" w:ascii="方正小标宋_GBK" w:hAnsi="方正小标宋_GBK" w:eastAsia="方正小标宋_GBK" w:cs="方正小标宋_GBK"/>
          <w:i w:val="0"/>
          <w:caps w:val="0"/>
          <w:color w:val="000000"/>
          <w:spacing w:val="0"/>
          <w:sz w:val="44"/>
          <w:szCs w:val="44"/>
          <w:shd w:val="clear" w:fill="FFFFFF"/>
        </w:rPr>
        <w:t>忠 县 人 民 政 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关于公布忠县国有建设用地使用权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土地级别和基准地价的通知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忠府发〔2016〕39号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各乡镇人民政府，各街道办事处，县政府各部门：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根据《中华人民共和国城市房地产管理法》《重庆市国有建设用地使用权出让管理实施办法》（渝府发〔2008〕119号），为进一步加强土地资产管理、完善科学的地价管理体系，规范土地市场秩序，发挥政府指导调控作用，按照《重庆市国土房管局关于部署开展国有建设用地使用权基准地价调整更新工作的通知》（渝国土房管〔2016〕395号）《重庆市国土房管局关于印发区县（自治县）国有建设用地使用权基准地价平衡调整方案的通知》（渝国土房管〔2016〕649号）要求，经2016年县政府第103次常务会议审议通过。现将忠县国有建设用地使用权土地级别和基准地价公布如下，请遵照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一、基准地价是政府管理和调控土地市场的基本手段，是制定土地税费、核算土地资产收益的主要依据，全县各级各部门必须严格执行。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二、本通知自2016年10月1日起执行，基准地价说明一并公布执行。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2016年10月1日前县国土房管局受理的业务审批件，仍按忠国土资发（2008）27号文件公布的土地级别执行（以行政审批业务受理凭证开具时间为准）。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（二）2016年10月1日后（含10月1日）县国土房管局受理的业务审批件，均按本通知公布的土地级别执行。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三、县政府有关部门和有关单位要做好相关政策的衔接工作，施行中的具体问题由县国土房管局负责解释。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四、若个别区域土地级别的影响因素发生明显变化，土地级别需作调整或执行中的其他问题，请各单位及时向县人民政府反馈。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五、各单位及其工作人员要</w:t>
      </w:r>
      <w:r>
        <w:rPr>
          <w:rFonts w:hint="eastAsia" w:ascii="Times New Roman" w:hAnsi="Times New Roman" w:eastAsia="方正仿宋_GBK" w:cs="Times New Roman"/>
          <w:i w:val="0"/>
          <w:caps w:val="0"/>
          <w:color w:val="000000"/>
          <w:spacing w:val="0"/>
          <w:sz w:val="32"/>
          <w:szCs w:val="32"/>
          <w:shd w:val="clear" w:fill="FFFFFF"/>
          <w:lang w:eastAsia="zh-CN"/>
        </w:rPr>
        <w:t>实事求是地执行</w:t>
      </w:r>
      <w:r>
        <w:rPr>
          <w:rFonts w:hint="default" w:ascii="Times New Roman" w:hAnsi="Times New Roman" w:eastAsia="方正仿宋_GBK" w:cs="Times New Roman"/>
          <w:i w:val="0"/>
          <w:caps w:val="0"/>
          <w:color w:val="000000"/>
          <w:spacing w:val="0"/>
          <w:sz w:val="32"/>
          <w:szCs w:val="32"/>
          <w:shd w:val="clear" w:fill="FFFFFF"/>
        </w:rPr>
        <w:t>本通知有关要求，不得弄虚作假、违反政策规定。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附件：1. 忠县国有建设用地使用权基准地价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xml:space="preserve">    </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  2. 忠县国有建设用地土地级别册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 xml:space="preserve">   3. 忠县国有建设用地使用权基准地价说明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left="0" w:leftChars="0" w:right="0" w:rightChars="0" w:firstLine="0"/>
        <w:jc w:val="right"/>
        <w:textAlignment w:val="auto"/>
        <w:rPr>
          <w:rFonts w:hint="eastAsia" w:ascii="Times New Roman" w:hAnsi="Times New Roman" w:eastAsia="方正仿宋_GBK" w:cs="Times New Roman"/>
          <w:i w:val="0"/>
          <w:caps w:val="0"/>
          <w:color w:val="000000"/>
          <w:spacing w:val="0"/>
          <w:sz w:val="32"/>
          <w:szCs w:val="32"/>
          <w:lang w:val="en-US" w:eastAsia="zh-CN"/>
        </w:rPr>
      </w:pPr>
      <w:r>
        <w:rPr>
          <w:rFonts w:hint="default" w:ascii="Times New Roman" w:hAnsi="Times New Roman" w:eastAsia="方正仿宋_GBK" w:cs="Times New Roman"/>
          <w:i w:val="0"/>
          <w:caps w:val="0"/>
          <w:color w:val="000000"/>
          <w:spacing w:val="0"/>
          <w:sz w:val="32"/>
          <w:szCs w:val="32"/>
          <w:shd w:val="clear" w:fill="FFFFFF"/>
        </w:rPr>
        <w:t>忠县人民政</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府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jc w:val="righ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2016年9月27日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附件1</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忠县国有建设用地使用权基准地价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单位：元/平方米（建筑面积）</w:t>
      </w:r>
    </w:p>
    <w:tbl>
      <w:tblPr>
        <w:tblStyle w:val="5"/>
        <w:tblW w:w="859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358"/>
        <w:gridCol w:w="1752"/>
        <w:gridCol w:w="1691"/>
        <w:gridCol w:w="1677"/>
        <w:gridCol w:w="21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5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级别</w:t>
            </w:r>
          </w:p>
        </w:tc>
        <w:tc>
          <w:tcPr>
            <w:tcW w:w="175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商业</w:t>
            </w:r>
          </w:p>
        </w:tc>
        <w:tc>
          <w:tcPr>
            <w:tcW w:w="16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办公</w:t>
            </w:r>
          </w:p>
        </w:tc>
        <w:tc>
          <w:tcPr>
            <w:tcW w:w="16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住宅</w:t>
            </w:r>
          </w:p>
        </w:tc>
        <w:tc>
          <w:tcPr>
            <w:tcW w:w="2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工业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5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w:t>
            </w:r>
          </w:p>
        </w:tc>
        <w:tc>
          <w:tcPr>
            <w:tcW w:w="175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1160</w:t>
            </w:r>
          </w:p>
        </w:tc>
        <w:tc>
          <w:tcPr>
            <w:tcW w:w="16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990</w:t>
            </w:r>
          </w:p>
        </w:tc>
        <w:tc>
          <w:tcPr>
            <w:tcW w:w="16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920</w:t>
            </w:r>
          </w:p>
        </w:tc>
        <w:tc>
          <w:tcPr>
            <w:tcW w:w="2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35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2</w:t>
            </w:r>
          </w:p>
        </w:tc>
        <w:tc>
          <w:tcPr>
            <w:tcW w:w="175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940</w:t>
            </w:r>
          </w:p>
        </w:tc>
        <w:tc>
          <w:tcPr>
            <w:tcW w:w="16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800</w:t>
            </w:r>
          </w:p>
        </w:tc>
        <w:tc>
          <w:tcPr>
            <w:tcW w:w="16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730</w:t>
            </w:r>
          </w:p>
        </w:tc>
        <w:tc>
          <w:tcPr>
            <w:tcW w:w="2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35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w:t>
            </w:r>
          </w:p>
        </w:tc>
        <w:tc>
          <w:tcPr>
            <w:tcW w:w="175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730</w:t>
            </w:r>
          </w:p>
        </w:tc>
        <w:tc>
          <w:tcPr>
            <w:tcW w:w="16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580</w:t>
            </w:r>
          </w:p>
        </w:tc>
        <w:tc>
          <w:tcPr>
            <w:tcW w:w="16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580</w:t>
            </w:r>
          </w:p>
        </w:tc>
        <w:tc>
          <w:tcPr>
            <w:tcW w:w="2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5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w:t>
            </w:r>
          </w:p>
        </w:tc>
        <w:tc>
          <w:tcPr>
            <w:tcW w:w="175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520</w:t>
            </w:r>
          </w:p>
        </w:tc>
        <w:tc>
          <w:tcPr>
            <w:tcW w:w="16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420</w:t>
            </w:r>
          </w:p>
        </w:tc>
        <w:tc>
          <w:tcPr>
            <w:tcW w:w="16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430</w:t>
            </w:r>
          </w:p>
        </w:tc>
        <w:tc>
          <w:tcPr>
            <w:tcW w:w="2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5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w:t>
            </w:r>
          </w:p>
        </w:tc>
        <w:tc>
          <w:tcPr>
            <w:tcW w:w="175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310</w:t>
            </w:r>
          </w:p>
        </w:tc>
        <w:tc>
          <w:tcPr>
            <w:tcW w:w="16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230</w:t>
            </w:r>
          </w:p>
        </w:tc>
        <w:tc>
          <w:tcPr>
            <w:tcW w:w="16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270</w:t>
            </w:r>
          </w:p>
        </w:tc>
        <w:tc>
          <w:tcPr>
            <w:tcW w:w="2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5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w:t>
            </w:r>
          </w:p>
        </w:tc>
        <w:tc>
          <w:tcPr>
            <w:tcW w:w="175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140</w:t>
            </w:r>
          </w:p>
        </w:tc>
        <w:tc>
          <w:tcPr>
            <w:tcW w:w="16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110</w:t>
            </w:r>
          </w:p>
        </w:tc>
        <w:tc>
          <w:tcPr>
            <w:tcW w:w="16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160</w:t>
            </w:r>
          </w:p>
        </w:tc>
        <w:tc>
          <w:tcPr>
            <w:tcW w:w="2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35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000000"/>
                <w:spacing w:val="0"/>
                <w:sz w:val="32"/>
                <w:szCs w:val="32"/>
              </w:rPr>
            </w:pPr>
          </w:p>
        </w:tc>
        <w:tc>
          <w:tcPr>
            <w:tcW w:w="175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000000"/>
                <w:spacing w:val="0"/>
                <w:sz w:val="32"/>
                <w:szCs w:val="32"/>
              </w:rPr>
            </w:pPr>
          </w:p>
        </w:tc>
        <w:tc>
          <w:tcPr>
            <w:tcW w:w="16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000000"/>
                <w:spacing w:val="0"/>
                <w:sz w:val="32"/>
                <w:szCs w:val="32"/>
              </w:rPr>
            </w:pPr>
          </w:p>
        </w:tc>
        <w:tc>
          <w:tcPr>
            <w:tcW w:w="16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000000"/>
                <w:spacing w:val="0"/>
                <w:sz w:val="32"/>
                <w:szCs w:val="32"/>
              </w:rPr>
            </w:pPr>
          </w:p>
        </w:tc>
        <w:tc>
          <w:tcPr>
            <w:tcW w:w="212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000000"/>
                <w:spacing w:val="0"/>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99"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注：1、基准地价是城镇土地不同级别、不同用途、设定容积率和土地开发程度下，某一估价期日法定最高出让年期出让国有建设用地使用权的区域平均价格。2、基准地价表现形式为楼面地价。3、基准地价期为2016年1月1日。4、基准地价对应的使用年限为商业40年、办公40年、住宅70年、工业50年。5、基准地价对应的容积率为商业3.0、办公3.0、住宅2.5、工业1.0。6、商业、办公、住宅用地开发程度为“六通一平”指宗地外通路、通电、</w:t>
            </w:r>
            <w:r>
              <w:rPr>
                <w:rFonts w:hint="eastAsia" w:ascii="Times New Roman" w:hAnsi="Times New Roman" w:eastAsia="方正仿宋_GBK" w:cs="Times New Roman"/>
                <w:i w:val="0"/>
                <w:caps w:val="0"/>
                <w:color w:val="000000"/>
                <w:spacing w:val="0"/>
                <w:sz w:val="32"/>
                <w:szCs w:val="32"/>
                <w:lang w:eastAsia="zh-CN"/>
              </w:rPr>
              <w:t>通信</w:t>
            </w:r>
            <w:r>
              <w:rPr>
                <w:rFonts w:hint="default" w:ascii="Times New Roman" w:hAnsi="Times New Roman" w:eastAsia="方正仿宋_GBK" w:cs="Times New Roman"/>
                <w:i w:val="0"/>
                <w:caps w:val="0"/>
                <w:color w:val="000000"/>
                <w:spacing w:val="0"/>
                <w:sz w:val="32"/>
                <w:szCs w:val="32"/>
              </w:rPr>
              <w:t>、通上水、通下水、通燃气及场地内场地平整；工业用地开发程度为“五通一平”，指宗地外通路、通电、</w:t>
            </w:r>
            <w:r>
              <w:rPr>
                <w:rFonts w:hint="eastAsia" w:ascii="Times New Roman" w:hAnsi="Times New Roman" w:eastAsia="方正仿宋_GBK" w:cs="Times New Roman"/>
                <w:i w:val="0"/>
                <w:caps w:val="0"/>
                <w:color w:val="000000"/>
                <w:spacing w:val="0"/>
                <w:sz w:val="32"/>
                <w:szCs w:val="32"/>
                <w:lang w:eastAsia="zh-CN"/>
              </w:rPr>
              <w:t>通信</w:t>
            </w:r>
            <w:r>
              <w:rPr>
                <w:rFonts w:hint="default" w:ascii="Times New Roman" w:hAnsi="Times New Roman" w:eastAsia="方正仿宋_GBK" w:cs="Times New Roman"/>
                <w:i w:val="0"/>
                <w:caps w:val="0"/>
                <w:color w:val="000000"/>
                <w:spacing w:val="0"/>
                <w:sz w:val="32"/>
                <w:szCs w:val="32"/>
              </w:rPr>
              <w:t>、通上水、通下水及宗地内场地平整。</w:t>
            </w: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附件2</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忠县国有建设用地土地级别册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商业用地级别册：</w:t>
      </w:r>
    </w:p>
    <w:tbl>
      <w:tblPr>
        <w:tblStyle w:val="5"/>
        <w:tblW w:w="88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460"/>
        <w:gridCol w:w="406"/>
        <w:gridCol w:w="80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Header/>
          <w:jc w:val="center"/>
        </w:trPr>
        <w:tc>
          <w:tcPr>
            <w:tcW w:w="4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i w:val="0"/>
                <w:caps w:val="0"/>
                <w:color w:val="000000"/>
                <w:spacing w:val="0"/>
                <w:sz w:val="32"/>
                <w:szCs w:val="32"/>
              </w:rPr>
              <w:t>所属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i w:val="0"/>
                <w:caps w:val="0"/>
                <w:color w:val="000000"/>
                <w:spacing w:val="0"/>
                <w:sz w:val="32"/>
                <w:szCs w:val="32"/>
              </w:rPr>
              <w:t>辖区</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i w:val="0"/>
                <w:caps w:val="0"/>
                <w:color w:val="000000"/>
                <w:spacing w:val="0"/>
                <w:sz w:val="32"/>
                <w:szCs w:val="32"/>
              </w:rPr>
              <w:t>级别</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i w:val="0"/>
                <w:caps w:val="0"/>
                <w:color w:val="000000"/>
                <w:spacing w:val="0"/>
                <w:sz w:val="32"/>
                <w:szCs w:val="32"/>
              </w:rPr>
              <w:t>范围说明（商业）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忠州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街道</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巴王路（玉溪大桥-广场西路）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2级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人民路（巴王路-养路一段-健康路）、健康路、巴王支路、中博大道（中博隧道-广场西路）、广场支路、州屏环道、州屏支路、东坡梯道(果园路至巴王路)、果园路、香山路(建委转盘至游乐场)、在建公路(白桥溪大桥至红星广场)、在建公路(果园路至红星广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东坡梯道(巴王路至临江路段)、香山路其余路段、香山一路、香山二路、人民西路、人民路(养路一段至汽车大修厂)、环城路（香山路-甘井口大桥）、乐天路、广场西路、广场东路、新华路、新华支路、红星路、红星支路、石垫路、大桥路、东坡梯道(巴王路至临江路段)、东坡路、体育路、十字街、临江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环城路（其余路段）、川汉路、渝巴路、山东路、精忠路、居民街、沈阳路、郑公路、规划范围内其他国有建设用地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街道</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白公路（玉溪大桥-滨江路与白公路汇合处）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西山路、渝巴路、白公路（其余路段）、曼子路、滨江路（玉溪二桥至黄金水岸）、其他规划道路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拔山镇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新花路两侧、吉祥广场及广场路、正街两侧（工商所所在区）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新华街两侧正街以东、北门街、公安路两侧、农贸市场所在区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新华路以北公安路以西、朝阳路、镇西侧忠垫公路两侧、镇东侧忠垫公路两侧、忠精公路两侧、庙垭乡、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东溪镇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翠屏路、宣公路、宣公支路、神溪路、姜维路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石宝镇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临江大街(沿头至13米街)、临溪街、五一街、和平街、临江大街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咸隆场、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乌杨镇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杨将路、怡然路西段、怡然路东段、杨将街步行街、玲珑路东段、怡然路西段、杨将路末段、乌杨工业园区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曹家乡、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汝溪镇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农贸市场范围、十字路口至白庙岔路口广场路、广场支路、丝绸路（汝溪派出所至丝绸路与健康路交汇处）、十字街至中学、健康路、镇江路（海尔电器至邮电路与镇江路交汇处）、香滨路、邮电路（丝绸路与邮电路交汇处至汝溪大酒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滨河路、渝巴路、丝绸路其余路段、镇江路其余路段、邮电路其余路段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谭家咀、</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新立镇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文昌街、新业街、新立街、橘城路、策勋街、接仙街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中岭场上、精华场上、长岭场、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三汇镇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汇鑫北路、汇里街、汇鑫南路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泰来乡、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官坝镇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三白路、建设路、育才路、人民路、官坝老街、五一路、陶官路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丰收乡、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洋渡镇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鸿鹤路、鸿祥路、鸿图路、鸿图支路、滨江路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同合场、蒲家场、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马灌镇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迎宾街、健康路、文明路、官塘街、天平路、南新街、平安路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高洞场、黄钦场、倒灌场、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新生镇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新生财政所至新生社区、新生财政所至仕琼百货至友好柏言花园、新生汽车站范围、滨河小区至桐君阁大药房、新生镇敬老院至新生国家电网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望水乡场、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复兴镇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复兴大道、消防街、滨江街、川汉路、水平工业园区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白石镇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石垫路、滨河路、三白路、白两路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巴营乡、两河乡、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金鸡镇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永青路、马金路、金泰路、文桂街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黄金镇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忠万路、忠丰路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大岭乡、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双桂镇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瞿家巷子路口-双桂粮点（含滨河小区、商业街、桂华康居示范点等场镇规划区范围）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瞿家巷子路口-原双桂收费站、双桂粮点-过桥村办公室、同德场、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任家镇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六三街、通江街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永丰镇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紫薇大街及转盘、石垫路梁管所路口至金珠环路、永丰小学至老街黄桷树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野鹤镇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忠万路西侧、忠万路东侧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新场乡、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花桥镇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花桥中学至花桥小学、花桥卫生院至镇政府大门、</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石黄镇</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十字街供销商场至卫生院、计生站至中心学校门口、</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金声乡</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金声乡、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磨子乡</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磨子乡、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石子乡</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石子乡、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兴峰乡</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兴峰乡、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涂井乡</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涂井乡、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善广乡</w:t>
            </w:r>
          </w:p>
        </w:tc>
        <w:tc>
          <w:tcPr>
            <w:tcW w:w="40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800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善广乡、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办公用途的级别册参照商业用途的级别册。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default" w:ascii="Times New Roman" w:hAnsi="Times New Roman" w:eastAsia="方正仿宋_GBK" w:cs="Times New Roman"/>
          <w:b w:val="0"/>
          <w:bCs w:val="0"/>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住宅用地级别册：</w:t>
      </w:r>
    </w:p>
    <w:tbl>
      <w:tblPr>
        <w:tblStyle w:val="5"/>
        <w:tblW w:w="887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478"/>
        <w:gridCol w:w="416"/>
        <w:gridCol w:w="79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Heade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000000"/>
                <w:spacing w:val="0"/>
                <w:sz w:val="32"/>
                <w:szCs w:val="32"/>
              </w:rPr>
              <w:t>所属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000000"/>
                <w:spacing w:val="0"/>
                <w:sz w:val="32"/>
                <w:szCs w:val="32"/>
              </w:rPr>
              <w:t>辖区</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000000"/>
                <w:spacing w:val="0"/>
                <w:sz w:val="32"/>
                <w:szCs w:val="32"/>
              </w:rPr>
              <w:t>级别</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000000"/>
                <w:spacing w:val="0"/>
                <w:sz w:val="32"/>
                <w:szCs w:val="32"/>
              </w:rPr>
              <w:t>范围说明（住宅）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忠州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街道</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巴王路-广场西路-东坡梯道-州屏路-州屏环路-香山路-健康路-人民路-巴王路所围区域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2级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广场西路-巴王路-白桥溪大桥-大桥路-大桥支路-新华路-乐天路-广场东路-中博支路-中博大道（中博隧道）-香山路-规划道路-人民路-临江路-滨江路-体育路-巴王路-人民路-健康路-州屏环路-州屏路-东坡梯道-广场西路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巴王路-体育路-滨江路-巴王路所围区域，滨江路-白桥溪大桥-大桥路-新华路-路-乐天路-广场东路-中博支路-中博大道（中博隧道）-香山路-规划道路-人民路-玉溪河-川汉路-人民西路-环城路-香山路-环城路-甘井口大桥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山东路、精忠路、郑公路、沈阳路、规划范围内其他国有建设用地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街道</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2级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白公路（玉溪大桥至白公路与西山路交汇处）-曼子路-滨江路（玉溪二桥至黄金水岸）-白公路（玉溪大桥处）所围区域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公路（玉溪大桥至白公路与西山路交汇处）-西山路-规划玉溪大桥-白公路（玉溪大桥处）所围区域，白公路（白公路与西山路交汇处至白公路与滨江路交汇处）-滨江路（白公路与滨江路交汇处至黄金水岸）-曼子路-白公路（白公路与西山路交汇处）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白公路（白公路与西山路交汇处）-渝巴路-规划玉溪大桥-西山路-白公路（白公路与西山路交汇处）所围区域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拔山镇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新花路两侧、吉祥广场及广场路、正街两侧（工商所所在区）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新华街两侧正街以东、北门街、公安路两侧、农贸市场所在区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新华路以北公安路以西、朝阳路、镇西侧忠垫公路两侧、镇东侧忠垫公路两侧、忠精公路两侧、庙垭乡、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东溪镇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翠屏路、宣公路、宣公支路、神溪路、姜维路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石宝镇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临江大街(沿头至13米街)、临溪街、五一街、和平街、临江大街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咸隆场、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乌杨镇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杨将路、怡然路西段、怡然路东段、杨将街步行街、玲珑路东段、怡然路西段、杨将路末段、乌杨工业园区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曹家乡、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汝溪镇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农贸市场范围、十字路口至白庙岔路口广场路、广场支路、丝绸路（汝溪派出所至丝绸路与健康路交汇处）、十字街至中学、健康路、镇江路（海尔电器至邮电路与镇江路交汇处）、香滨路、邮电路（丝绸路与邮电路交汇处至汝溪大酒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滨河路、渝巴路、丝绸路其余路段、镇江路其余路段、邮电路其余路段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谭家咀、</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新立镇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文昌街、新业街、新立街、橘城路、策勋街、接仙街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中岭场上、精华场上、长岭场、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三汇镇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汇鑫北路、汇里街、汇鑫南路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泰来乡、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官坝镇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三白路、建设路、育才路、人民路、官坝老街、五一路、陶官路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丰收乡、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洋渡镇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鸿鹤路、鸿祥路、鸿图路、鸿图支路、滨江路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同合场、蒲家场、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马灌镇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迎宾街、健康路、文明路、官塘街、天平路、南新街、平安路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高洞场、黄钦场、倒灌场、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新生镇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新生财政所至新生社区、新生财政所至仕琼百货至友好柏言花园、新生汽车站范围、滨河小区至桐君阁大药房、新生镇敬老院至新生国家电网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望水乡场、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复兴镇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复兴大道、消防街、滨江街、川汉路、水平工业园区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白石镇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石垫路、滨河路、三白路、白两路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巴营乡、两河乡、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金鸡镇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永青路、马金路、金泰路、文桂街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黄金镇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忠万路、忠丰路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大岭乡、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双桂镇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瞿家巷子路口-双桂粮点（含滨河小区、商业街、桂华康居示范点等场镇规划区范围）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瞿家巷子路口-原双桂收费站、双桂粮点-过桥村办公室、同德场、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任家镇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六三街、通江街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永丰镇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紫薇大街及转盘、石垫路梁管所路口至金珠环路、永丰小学至老街黄桷树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野鹤镇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忠万路西侧、忠万路东侧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新场乡、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花桥镇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花桥中学至花桥小学、花桥卫生院至镇政府大门、</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石黄镇</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十字街供销商场至卫生院、计生站至中心学校门口、</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金声乡</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金声乡、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磨子乡</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磨子乡、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石子乡</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石子乡、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兴峰乡</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兴峰乡、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涂井乡</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涂井乡、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善广乡</w:t>
            </w:r>
          </w:p>
        </w:tc>
        <w:tc>
          <w:tcPr>
            <w:tcW w:w="41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善广乡、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工业用地级别册：</w:t>
      </w:r>
    </w:p>
    <w:tbl>
      <w:tblPr>
        <w:tblStyle w:val="5"/>
        <w:tblW w:w="887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478"/>
        <w:gridCol w:w="447"/>
        <w:gridCol w:w="79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Heade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i w:val="0"/>
                <w:caps w:val="0"/>
                <w:color w:val="000000"/>
                <w:spacing w:val="0"/>
                <w:sz w:val="32"/>
                <w:szCs w:val="32"/>
              </w:rPr>
              <w:t>所属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i w:val="0"/>
                <w:caps w:val="0"/>
                <w:color w:val="000000"/>
                <w:spacing w:val="0"/>
                <w:sz w:val="32"/>
                <w:szCs w:val="32"/>
              </w:rPr>
              <w:t>辖区</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i w:val="0"/>
                <w:caps w:val="0"/>
                <w:color w:val="000000"/>
                <w:spacing w:val="0"/>
                <w:sz w:val="32"/>
                <w:szCs w:val="32"/>
              </w:rPr>
              <w:t>级 别</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i w:val="0"/>
                <w:caps w:val="0"/>
                <w:color w:val="000000"/>
                <w:spacing w:val="0"/>
                <w:sz w:val="32"/>
                <w:szCs w:val="32"/>
              </w:rPr>
              <w:t>范围说明（工业）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忠州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街道</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巴王路-广场西路-东坡梯道-州屏路-州屏环路-香山路-健康路-人民路-巴王路所围区域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2级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广场西路-巴王路-白桥溪大桥-大桥路-大桥支路-新华路-乐天路-广场东路-中博支路-中博大道（中博隧道）-香山路-规划道路-人民路-临江路-滨江路-体育路-巴王路-人民路-健康路-州屏环路-州屏路-东坡梯道-广场西路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巴王路-体育路-滨江路-巴王路所围区域，滨江路-白桥溪大桥-大桥路-新华路-路-乐天路-广场东路-中博支路-中博大道（中博隧道）-香山路-规划道路-人民路-玉溪河-川汉路-人民西路-环城路-香山路-环城路-甘井口大桥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山东路、精忠路、郑公路、沈阳路、规划范围内其他国有建设用地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街道</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2级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白公路（玉溪大桥至白公路与西山路交汇处）-曼子路-滨江路（玉溪二桥至黄金水岸）-白公路（玉溪大桥处）所围区域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公路（玉溪大桥至白公路与西山路交汇处）-西山路-规划玉溪大桥-白公路（玉溪大桥处）所围区域，白公路（白公路与西山路交汇处至白公路与滨江路交汇处）-滨江路（白公路与滨江路交汇处至黄金水岸）-曼子路-白公路（白公路与西山路交汇处）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白公路（白公路与西山路交汇处）-渝巴路-规划玉溪大桥-西山路-白公路（白公路与西山路交汇处）所围区域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拔山镇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新花路两侧、吉祥广场及广场路、正街两侧（工商所所在区）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新华街两侧正街以东、北门街、公安路两侧、农贸市场所在区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新华路以北公安路以西、朝阳路、镇西侧忠垫公路两侧、镇东侧忠垫公路两侧、忠精公路两侧、庙垭乡、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东溪镇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翠屏路、宣公路、宣公支路、神溪路、姜维路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石宝镇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临江大街(沿头至13米街)、临溪街、五一街、和平街、临江大街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咸隆场、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乌杨镇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杨将路、怡然路西段、怡然路东段、杨将街步行街、玲珑路东段、怡然路西段、杨将路末段、乌杨工业园区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曹家乡、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汝溪镇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3级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农贸市场范围、十字路口至白庙岔路口广场路、广场支路、丝绸路（汝溪派出所至丝绸路与健康路交汇处）、十字街至中学、健康路、镇江路（海尔电器至邮电路与镇江路交汇处）、香滨路、邮电路（丝绸路与邮电路交汇处至汝溪大酒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滨河路、渝巴路、丝绸路其余路段、镇江路其余路段、邮电路其余路段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谭家咀、</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新立镇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文昌街、新业街、新立街、橘城路、策勋街、接仙街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中岭场上、精华场上、长岭场、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三汇镇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汇鑫北路、汇里街、汇鑫南路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泰来乡、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官坝镇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三白路、建设路、育才路、人民路、官坝老街、五一路、陶官路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丰收乡、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洋渡镇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鸿鹤路、鸿祥路、鸿图路、鸿图支路、滨江路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同合场、蒲家场、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马灌镇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迎宾街、健康路、文明路、官塘街、天平路、南新街、平安路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高洞场、黄钦场、倒灌场、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新生镇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新生财政所至新生社区、新生财政所至仕琼百货至友好柏言花园、新生汽车站范围、滨河小区至桐君阁大药房、新生镇敬老院至新生国家电网、新生汽车站至果梁七社三万大塘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望水乡场、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复兴镇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复兴大道、消防街、滨江街、川汉路、水平工业园区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白石镇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4级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石垫路、滨河路、三白路、白两路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巴营乡、两河乡、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金鸡镇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永青路、马金路、金泰路、文桂街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黄金镇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忠万路、忠丰路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大岭乡、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双桂镇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瞿家巷子路口-双桂粮点（含滨河小区、商业街、桂华康居示范点等场镇规划区范围）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瞿家巷子路口-原双桂收费站、双桂粮点-过桥村办公室、同德场、</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任家镇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六三街、通江街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永丰镇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紫薇大街及转盘、石垫路梁管所路口至金珠环路、永丰小学至老街黄桷树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野鹤镇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忠万路西侧、忠万路东侧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仿宋_GBK" w:cs="Times New Roman"/>
                <w:i w:val="0"/>
                <w:caps w:val="0"/>
                <w:color w:val="000000"/>
                <w:spacing w:val="0"/>
                <w:sz w:val="32"/>
                <w:szCs w:val="32"/>
              </w:rPr>
            </w:pP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新场乡、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花桥镇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花桥中学至花桥小学、花桥卫生院至镇政府大门、</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石黄镇</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十字街供销商场至卫生院、计生站至中心学校门口、</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金声乡</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金声乡、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磨子乡</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磨子乡、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石子乡</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石子乡、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兴峰乡</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兴峰乡、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涂井乡</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涂井乡、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7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善广乡</w:t>
            </w:r>
          </w:p>
        </w:tc>
        <w:tc>
          <w:tcPr>
            <w:tcW w:w="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6级</w:t>
            </w:r>
          </w:p>
        </w:tc>
        <w:tc>
          <w:tcPr>
            <w:tcW w:w="7949"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善广乡、</w:t>
            </w:r>
            <w:r>
              <w:rPr>
                <w:rFonts w:hint="eastAsia" w:ascii="Times New Roman" w:hAnsi="Times New Roman" w:eastAsia="方正仿宋_GBK" w:cs="Times New Roman"/>
                <w:i w:val="0"/>
                <w:caps w:val="0"/>
                <w:color w:val="000000"/>
                <w:spacing w:val="0"/>
                <w:sz w:val="32"/>
                <w:szCs w:val="32"/>
                <w:lang w:eastAsia="zh-CN"/>
              </w:rPr>
              <w:t>其他地区</w:t>
            </w:r>
            <w:r>
              <w:rPr>
                <w:rFonts w:hint="default" w:ascii="Times New Roman" w:hAnsi="Times New Roman" w:eastAsia="方正仿宋_GBK" w:cs="Times New Roman"/>
                <w:i w:val="0"/>
                <w:caps w:val="0"/>
                <w:color w:val="000000"/>
                <w:spacing w:val="0"/>
                <w:sz w:val="32"/>
                <w:szCs w:val="32"/>
              </w:rPr>
              <w:t>及规划范围内其他国有建设用地</w:t>
            </w: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 附件3</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忠县国有建设用地使用权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基准地价说明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一、适用范围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重庆市忠县国有建设用地使用权基准地价（以下简称基准地价）适用于忠县范围内的国有建设用地。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二、基准地价内涵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基准地价的内涵为城镇国有建设用地使用权不同级别、不同用途、设定容积率和土地开发程度下，特定出让年限的区域平均价格。基准地价的价格表现形式为楼面地价，是指单位建筑面积分摊的完整的国有建设用地使用权的平均价格（单位：元/平方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（一）基准地价容积率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商业为3.0；办公为3.0；住宅为2.5；工业为1.0。</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（二）基准地价土地开发程度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商业、办公、住宅为“六通一平”，指宗地外通路、通电、</w:t>
      </w:r>
      <w:r>
        <w:rPr>
          <w:rFonts w:hint="eastAsia" w:ascii="Times New Roman" w:hAnsi="Times New Roman" w:eastAsia="方正仿宋_GBK" w:cs="Times New Roman"/>
          <w:i w:val="0"/>
          <w:caps w:val="0"/>
          <w:color w:val="000000"/>
          <w:spacing w:val="0"/>
          <w:sz w:val="32"/>
          <w:szCs w:val="32"/>
          <w:shd w:val="clear" w:fill="FFFFFF"/>
          <w:lang w:eastAsia="zh-CN"/>
        </w:rPr>
        <w:t>通信</w:t>
      </w:r>
      <w:r>
        <w:rPr>
          <w:rFonts w:hint="default" w:ascii="Times New Roman" w:hAnsi="Times New Roman" w:eastAsia="方正仿宋_GBK" w:cs="Times New Roman"/>
          <w:i w:val="0"/>
          <w:caps w:val="0"/>
          <w:color w:val="000000"/>
          <w:spacing w:val="0"/>
          <w:sz w:val="32"/>
          <w:szCs w:val="32"/>
          <w:shd w:val="clear" w:fill="FFFFFF"/>
        </w:rPr>
        <w:t>、通上水、通下水、通燃气及宗地内场地平整；工业为“五通一平”，指宗地外通路、通电、</w:t>
      </w:r>
      <w:r>
        <w:rPr>
          <w:rFonts w:hint="eastAsia" w:ascii="Times New Roman" w:hAnsi="Times New Roman" w:eastAsia="方正仿宋_GBK" w:cs="Times New Roman"/>
          <w:i w:val="0"/>
          <w:caps w:val="0"/>
          <w:color w:val="000000"/>
          <w:spacing w:val="0"/>
          <w:sz w:val="32"/>
          <w:szCs w:val="32"/>
          <w:shd w:val="clear" w:fill="FFFFFF"/>
          <w:lang w:eastAsia="zh-CN"/>
        </w:rPr>
        <w:t>通信</w:t>
      </w:r>
      <w:r>
        <w:rPr>
          <w:rFonts w:hint="default" w:ascii="Times New Roman" w:hAnsi="Times New Roman" w:eastAsia="方正仿宋_GBK" w:cs="Times New Roman"/>
          <w:i w:val="0"/>
          <w:caps w:val="0"/>
          <w:color w:val="000000"/>
          <w:spacing w:val="0"/>
          <w:sz w:val="32"/>
          <w:szCs w:val="32"/>
          <w:shd w:val="clear" w:fill="FFFFFF"/>
        </w:rPr>
        <w:t>、通上水、通下水及宗地内场地平整。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（三）基准地价使用年限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商业40年；办公40年；住宅70年；工业50年。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（四）基准地价期日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2016年1月1日。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三、土地用途分类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基准地价土地用途分为商业、办公、住宅和工业四类。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（一）商业类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包括批发零售用地（包括商场、商铺、商店、超市、各类批发（零售）市场等用地）；住宿餐饮用地（包括宾馆、旅馆、招待所、服务型公寓、自驾车和房车营地、度假村、酒店、饭店、餐厅、酒吧等用地）；金融保险用地（指银行、证券期货交易所、保险公司等金融活动场所用地）；娱乐康体用地（包括剧院、音乐厅、电影院、歌舞厅、网吧、大型游乐设施、影视城及仿古城等人造景观用地、高尔夫、赛马场、溜冰场、跳伞场、摩托车场、射击场，以及通用航空、水上运动的陆域部分等用地）；其他商服用地（包括洗车场、洗染店、废旧物资回收站、维修网点、照相馆、理发美容店、洗浴场所、业余学校、民营培训机构、私人诊所、宠物医院、汽车维修站、加油站、加气站、充电站、停车场（库）及独立地段的电信、邮政、供水、燃气、供电、供热等其他公用设施营业网点用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殡葬用地（包括殡仪馆、火葬场、骨灰寄存堂、陵园、墓地等殡葬场所用地）参照商业用途确定。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（二）办公类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包括商务办公用地（指企业、服务业等办公场所用地，包括写字楼、商业性办公楼、企业厂区外独立的办公楼以及贸易、设计、咨询等技术服务办公用地）；艺术传媒用地（指文艺团体、影视制作、广告传媒等用地，包括广播电视、电视台、电影厂、报社、杂志社、</w:t>
      </w:r>
      <w:r>
        <w:rPr>
          <w:rFonts w:hint="eastAsia" w:ascii="Times New Roman" w:hAnsi="Times New Roman" w:eastAsia="方正仿宋_GBK" w:cs="Times New Roman"/>
          <w:i w:val="0"/>
          <w:caps w:val="0"/>
          <w:color w:val="000000"/>
          <w:spacing w:val="0"/>
          <w:sz w:val="32"/>
          <w:szCs w:val="32"/>
          <w:shd w:val="clear" w:fill="FFFFFF"/>
          <w:lang w:eastAsia="zh-CN"/>
        </w:rPr>
        <w:t>通信</w:t>
      </w:r>
      <w:r>
        <w:rPr>
          <w:rFonts w:hint="default" w:ascii="Times New Roman" w:hAnsi="Times New Roman" w:eastAsia="方正仿宋_GBK" w:cs="Times New Roman"/>
          <w:i w:val="0"/>
          <w:caps w:val="0"/>
          <w:color w:val="000000"/>
          <w:spacing w:val="0"/>
          <w:sz w:val="32"/>
          <w:szCs w:val="32"/>
          <w:shd w:val="clear" w:fill="FFFFFF"/>
        </w:rPr>
        <w:t>社、出版社等）；行政办公用地（指党政机关、社会团体、事业单位等机关团体用地）。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文化设施用地（包括公共图书馆、博物馆、档案馆、科技馆、纪念馆、美术馆和展览馆、会展中心、综合文化活动中心、文化馆、青少年宫、儿童活动中心、老年活动中心等设施用地）；教育科研用地（包括高等院校、中等专业学校、中学、小学、科研事业单位用地）；体育用地（包括体育场馆、体育训练基地等用地）；医疗卫生用地（包括医疗保健、卫生防疫、康复急救、医检药检设施等用地）；社会福利设施用地（包括福利院、养老院、孤儿院等用地）；监教安保用地（包括监狱、看守所、拘留所、劳改劳教场所、戒毒所和安全保卫设施等用地）；外事用地（包括外国驻华使馆、领事馆、办事处、国际机构等用地）及宗教用地（包括庙宇、寺院、道观、教堂等宗教活动场所用地）参照办公用途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（三）住宅类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指用于一类居住、二类居住、三类居住用地中的住宅用地（包括普通住宅、公寓、别墅等）。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（四）工业类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包括工业用地（指工矿企业的生产车间、库房及其附属设施等用地）；物流仓储用地（指物资储备、中转、配送等用地）；采矿用地（指采矿、采石、采砂（沙）场、盐田、砖瓦窑等地面生产用地及尾矿堆放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公用设施用地（指用于城乡基础设施的用地，包括供水、供电、供燃气、供热、邮政基础设施及基站、广播电视通信基站、消防、防洪、排水、环卫等设施用地）及交通水利设施用地（包括铁路、公路、港口码头、机场、管道运输、城市道路、轨道交通、交通枢纽、交通站场、水工建筑等设施用地）参照工业用途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其他未列入上述范围的用地，其用途类别可参照相关或相近用地用途类别确定。办公类、住宅类、工业类用地中的配套经营性设施用地，应参照商业用途确定。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四、基准地价的应用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运用基准地价系数修正法进行宗地价格评估时应适用对应用途级别的基准地价，并根据宗地实际情况进行土地用途、期日、年期、容积率、区域和个别因素及土地开发程度等修正。评估多用途混合的宗地价格时，应按各具体用途分别修正后加权测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（一）宗地价格计算公式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1．地上计容部分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楼面地价=适用的基准地价×土地用途修正系数×期日修正系数×年期修正系数×容积率修正系数×区域和个别因素修正系数±土地开发程度修正值</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地面价=楼面地价×R</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R为设定容积率（工业用地R为1；商业、办公、住宅用地设定容积率小于1时，R取1）。</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2．地下不计容部分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楼面地价=适用的基准地价×相应用途地下空间修正系数×期日修正系数×年期修正系数×区域和个别因素修正系数±土地开发程度修正值</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地面价=楼面地价×（建筑面积÷宗地土地面积）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（二）宗地价格测算中有关参数的确定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1．适用的基准地价的确定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根据宗地的法定用途，按照本说明第三条规定的基准地价分类，确定适用的基准地价用途后，根据国土部门公布执行的土地级别，确定对应用途级别应适用的基准地价。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2．用途修正系数的确定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宗地需要进行用途修正的，地上计容部分应按照《土地用途修正系数表》确定用途修正系数；地下不计容部分应根据《地下空间修正系数表》相应用途</w:t>
      </w:r>
      <w:r>
        <w:rPr>
          <w:rFonts w:hint="eastAsia" w:ascii="Times New Roman" w:hAnsi="Times New Roman" w:eastAsia="方正仿宋_GBK" w:cs="Times New Roman"/>
          <w:i w:val="0"/>
          <w:caps w:val="0"/>
          <w:color w:val="000000"/>
          <w:spacing w:val="0"/>
          <w:sz w:val="32"/>
          <w:szCs w:val="32"/>
          <w:shd w:val="clear" w:fill="FFFFFF"/>
          <w:lang w:val="en-US" w:eastAsia="zh-CN"/>
        </w:rPr>
        <w:t>批准</w:t>
      </w:r>
      <w:r>
        <w:rPr>
          <w:rFonts w:hint="default" w:ascii="Times New Roman" w:hAnsi="Times New Roman" w:eastAsia="方正仿宋_GBK" w:cs="Times New Roman"/>
          <w:i w:val="0"/>
          <w:caps w:val="0"/>
          <w:color w:val="000000"/>
          <w:spacing w:val="0"/>
          <w:sz w:val="32"/>
          <w:szCs w:val="32"/>
          <w:shd w:val="clear" w:fill="FFFFFF"/>
        </w:rPr>
        <w:t>类别确定相应用途地下空间修正系数。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3．期日修正系数的确定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期日修正系数=宗地估价期日的地价指数÷基准地价期日的地价指数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宗地估价期日的地价指数以重庆市地价动态监测成果公布的地价指数、地价增长率为准。</w:t>
      </w:r>
    </w:p>
    <w:p>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ascii="宋体" w:hAnsi="宋体" w:eastAsia="宋体" w:cs="宋体"/>
          <w:sz w:val="24"/>
          <w:szCs w:val="24"/>
        </w:rPr>
      </w:pPr>
      <w:r>
        <w:rPr>
          <w:rFonts w:hint="default" w:ascii="Times New Roman" w:hAnsi="Times New Roman" w:eastAsia="方正仿宋_GBK" w:cs="Times New Roman"/>
          <w:i w:val="0"/>
          <w:caps w:val="0"/>
          <w:color w:val="000000"/>
          <w:spacing w:val="0"/>
          <w:sz w:val="32"/>
          <w:szCs w:val="32"/>
          <w:shd w:val="clear" w:fill="FFFFFF"/>
        </w:rPr>
        <w:t>年期修正系数的确定</w:t>
      </w:r>
      <w:r>
        <w:rPr>
          <w:rFonts w:ascii="宋体" w:hAnsi="宋体" w:eastAsia="宋体" w:cs="宋体"/>
          <w:sz w:val="24"/>
          <w:szCs w:val="24"/>
        </w:rPr>
        <w:t>​</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1500" w:lineRule="exact"/>
        <w:ind w:left="420" w:leftChars="20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32"/>
          <w:szCs w:val="32"/>
        </w:rPr>
      </w:pPr>
      <w:r>
        <w:rPr>
          <w:rFonts w:ascii="宋体" w:hAnsi="宋体" w:eastAsia="宋体" w:cs="宋体"/>
          <w:sz w:val="24"/>
          <w:szCs w:val="24"/>
        </w:rPr>
        <w:drawing>
          <wp:inline distT="0" distB="0" distL="114300" distR="114300">
            <wp:extent cx="142875" cy="142875"/>
            <wp:effectExtent l="0" t="0" r="0" b="0"/>
            <wp:docPr id="21" name="图片 18" descr="点击并拖拽以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8" descr="点击并拖拽以移动"/>
                    <pic:cNvPicPr>
                      <a:picLocks noChangeAspect="1"/>
                    </pic:cNvPicPr>
                  </pic:nvPicPr>
                  <pic:blipFill>
                    <a:blip r:embed="rId6"/>
                    <a:stretch>
                      <a:fillRect/>
                    </a:stretch>
                  </pic:blipFill>
                  <pic:spPr>
                    <a:xfrm>
                      <a:off x="0" y="0"/>
                      <a:ext cx="142875" cy="142875"/>
                    </a:xfrm>
                    <a:prstGeom prst="rect">
                      <a:avLst/>
                    </a:prstGeom>
                    <a:noFill/>
                    <a:ln w="9525">
                      <a:noFill/>
                    </a:ln>
                  </pic:spPr>
                </pic:pic>
              </a:graphicData>
            </a:graphic>
          </wp:inline>
        </w:drawing>
      </w:r>
      <w:r>
        <w:rPr>
          <w:rFonts w:ascii="宋体" w:hAnsi="宋体" w:eastAsia="宋体" w:cs="宋体"/>
          <w:sz w:val="24"/>
          <w:szCs w:val="24"/>
        </w:rPr>
        <w:t>​</w:t>
      </w:r>
      <w:r>
        <w:drawing>
          <wp:inline distT="0" distB="0" distL="114300" distR="114300">
            <wp:extent cx="3866515" cy="1028700"/>
            <wp:effectExtent l="0" t="0" r="635" b="0"/>
            <wp:docPr id="2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0"/>
                    <pic:cNvPicPr>
                      <a:picLocks noChangeAspect="1"/>
                    </pic:cNvPicPr>
                  </pic:nvPicPr>
                  <pic:blipFill>
                    <a:blip r:embed="rId7"/>
                    <a:stretch>
                      <a:fillRect/>
                    </a:stretch>
                  </pic:blipFill>
                  <pic:spPr>
                    <a:xfrm>
                      <a:off x="0" y="0"/>
                      <a:ext cx="3866515" cy="1028700"/>
                    </a:xfrm>
                    <a:prstGeom prst="rect">
                      <a:avLst/>
                    </a:prstGeom>
                    <a:noFill/>
                    <a:ln w="9525">
                      <a:noFill/>
                    </a:ln>
                  </pic:spPr>
                </pic:pic>
              </a:graphicData>
            </a:graphic>
          </wp:inline>
        </w:drawing>
      </w:r>
      <w:r>
        <w:rPr>
          <w:rFonts w:ascii="宋体" w:hAnsi="宋体" w:eastAsia="宋体" w:cs="宋体"/>
          <w:sz w:val="24"/>
          <w:szCs w:val="24"/>
        </w:rPr>
        <w:t>​​</w:t>
      </w:r>
      <w:r>
        <w:rPr>
          <w:rFonts w:ascii="宋体" w:hAnsi="宋体" w:eastAsia="宋体" w:cs="宋体"/>
          <w:sz w:val="24"/>
          <w:szCs w:val="24"/>
        </w:rPr>
        <w:drawing>
          <wp:inline distT="0" distB="0" distL="114300" distR="114300">
            <wp:extent cx="304800" cy="304800"/>
            <wp:effectExtent l="0" t="0" r="0" b="0"/>
            <wp:docPr id="1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42875" cy="142875"/>
            <wp:effectExtent l="0" t="0" r="0" b="0"/>
            <wp:docPr id="11" name="图片 8" descr="点击并拖拽以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点击并拖拽以移动"/>
                    <pic:cNvPicPr>
                      <a:picLocks noChangeAspect="1"/>
                    </pic:cNvPicPr>
                  </pic:nvPicPr>
                  <pic:blipFill>
                    <a:blip r:embed="rId6"/>
                    <a:stretch>
                      <a:fillRect/>
                    </a:stretch>
                  </pic:blipFill>
                  <pic:spPr>
                    <a:xfrm>
                      <a:off x="0" y="0"/>
                      <a:ext cx="142875" cy="142875"/>
                    </a:xfrm>
                    <a:prstGeom prst="rect">
                      <a:avLst/>
                    </a:prstGeom>
                    <a:noFill/>
                    <a:ln w="9525">
                      <a:noFill/>
                    </a:ln>
                  </pic:spPr>
                </pic:pic>
              </a:graphicData>
            </a:graphic>
          </wp:inline>
        </w:drawing>
      </w:r>
      <w:r>
        <w:rPr>
          <w:rFonts w:ascii="宋体" w:hAnsi="宋体" w:eastAsia="宋体" w:cs="宋体"/>
          <w:sz w:val="24"/>
          <w:szCs w:val="24"/>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Style w:val="8"/>
          <w:rFonts w:hint="default" w:ascii="Times New Roman" w:hAnsi="Times New Roman" w:eastAsia="方正仿宋_GBK" w:cs="Times New Roman"/>
          <w:i/>
          <w:caps w:val="0"/>
          <w:color w:val="000000"/>
          <w:spacing w:val="0"/>
          <w:sz w:val="32"/>
          <w:szCs w:val="32"/>
          <w:shd w:val="clear" w:fill="FFFFFF"/>
        </w:rPr>
        <w:t>r</w:t>
      </w:r>
      <w:r>
        <w:rPr>
          <w:rFonts w:hint="default" w:ascii="Times New Roman" w:hAnsi="Times New Roman" w:eastAsia="方正仿宋_GBK" w:cs="Times New Roman"/>
          <w:i w:val="0"/>
          <w:caps w:val="0"/>
          <w:color w:val="000000"/>
          <w:spacing w:val="0"/>
          <w:sz w:val="32"/>
          <w:szCs w:val="32"/>
          <w:shd w:val="clear" w:fill="FFFFFF"/>
        </w:rPr>
        <w:t>为土地还原率（商业、办公、住宅、工业分别为7.50%、7.18%、6.51%、5.81%）；</w:t>
      </w:r>
      <w:r>
        <w:rPr>
          <w:rStyle w:val="8"/>
          <w:rFonts w:hint="default" w:ascii="Times New Roman" w:hAnsi="Times New Roman" w:eastAsia="方正仿宋_GBK" w:cs="Times New Roman"/>
          <w:i/>
          <w:caps w:val="0"/>
          <w:color w:val="000000"/>
          <w:spacing w:val="0"/>
          <w:sz w:val="32"/>
          <w:szCs w:val="32"/>
          <w:shd w:val="clear" w:fill="FFFFFF"/>
        </w:rPr>
        <w:t>n</w:t>
      </w:r>
      <w:r>
        <w:rPr>
          <w:rFonts w:hint="default" w:ascii="Times New Roman" w:hAnsi="Times New Roman" w:eastAsia="方正仿宋_GBK" w:cs="Times New Roman"/>
          <w:i w:val="0"/>
          <w:caps w:val="0"/>
          <w:color w:val="000000"/>
          <w:spacing w:val="0"/>
          <w:sz w:val="32"/>
          <w:szCs w:val="32"/>
          <w:shd w:val="clear" w:fill="FFFFFF"/>
        </w:rPr>
        <w:t>为宗地剩余使用年限；</w:t>
      </w:r>
      <w:r>
        <w:rPr>
          <w:rStyle w:val="8"/>
          <w:rFonts w:hint="default" w:ascii="Times New Roman" w:hAnsi="Times New Roman" w:eastAsia="方正仿宋_GBK" w:cs="Times New Roman"/>
          <w:i/>
          <w:caps w:val="0"/>
          <w:color w:val="000000"/>
          <w:spacing w:val="0"/>
          <w:sz w:val="32"/>
          <w:szCs w:val="32"/>
          <w:shd w:val="clear" w:fill="FFFFFF"/>
        </w:rPr>
        <w:t>m</w:t>
      </w:r>
      <w:r>
        <w:rPr>
          <w:rFonts w:hint="default" w:ascii="Times New Roman" w:hAnsi="Times New Roman" w:eastAsia="方正仿宋_GBK" w:cs="Times New Roman"/>
          <w:i w:val="0"/>
          <w:caps w:val="0"/>
          <w:color w:val="000000"/>
          <w:spacing w:val="0"/>
          <w:sz w:val="32"/>
          <w:szCs w:val="32"/>
          <w:shd w:val="clear" w:fill="FFFFFF"/>
        </w:rPr>
        <w:t>为基准地价规定的对应用途土地使用年限。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5．容积率修正系数的确定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按照宗地的设定容积率（R），根据《容积率修正系数表》确定容积率修正系数。商业、办公、住：容积率小于1.0时，按容积率1.0确定修正系数；容积率大于4.5时，按容积率4.5确定修正系数。工业用地不进行容积率修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当R</w:t>
      </w:r>
      <w:r>
        <w:rPr>
          <w:rFonts w:hint="default" w:ascii="Times New Roman" w:hAnsi="Times New Roman" w:eastAsia="方正仿宋_GBK" w:cs="Times New Roman"/>
          <w:i w:val="0"/>
          <w:caps w:val="0"/>
          <w:color w:val="000000"/>
          <w:spacing w:val="0"/>
          <w:sz w:val="32"/>
          <w:szCs w:val="32"/>
          <w:shd w:val="clear" w:fill="FFFFFF"/>
          <w:vertAlign w:val="subscript"/>
        </w:rPr>
        <w:t>1</w:t>
      </w:r>
      <w:r>
        <w:rPr>
          <w:rFonts w:hint="default" w:ascii="Times New Roman" w:hAnsi="Times New Roman" w:eastAsia="方正仿宋_GBK" w:cs="Times New Roman"/>
          <w:i w:val="0"/>
          <w:caps w:val="0"/>
          <w:color w:val="000000"/>
          <w:spacing w:val="0"/>
          <w:sz w:val="32"/>
          <w:szCs w:val="32"/>
          <w:shd w:val="clear" w:fill="FFFFFF"/>
        </w:rPr>
        <w:t>&lt;R&lt;R</w:t>
      </w:r>
      <w:r>
        <w:rPr>
          <w:rFonts w:hint="default" w:ascii="Times New Roman" w:hAnsi="Times New Roman" w:eastAsia="方正仿宋_GBK" w:cs="Times New Roman"/>
          <w:i w:val="0"/>
          <w:caps w:val="0"/>
          <w:color w:val="000000"/>
          <w:spacing w:val="0"/>
          <w:sz w:val="32"/>
          <w:szCs w:val="32"/>
          <w:shd w:val="clear" w:fill="FFFFFF"/>
          <w:vertAlign w:val="subscript"/>
        </w:rPr>
        <w:t>2</w:t>
      </w:r>
      <w:r>
        <w:rPr>
          <w:rFonts w:hint="default" w:ascii="Times New Roman" w:hAnsi="Times New Roman" w:eastAsia="方正仿宋_GBK" w:cs="Times New Roman"/>
          <w:i w:val="0"/>
          <w:caps w:val="0"/>
          <w:color w:val="000000"/>
          <w:spacing w:val="0"/>
          <w:sz w:val="32"/>
          <w:szCs w:val="32"/>
          <w:shd w:val="clear" w:fill="FFFFFF"/>
        </w:rPr>
        <w:t>（R</w:t>
      </w:r>
      <w:r>
        <w:rPr>
          <w:rFonts w:hint="default" w:ascii="Times New Roman" w:hAnsi="Times New Roman" w:eastAsia="方正仿宋_GBK" w:cs="Times New Roman"/>
          <w:i w:val="0"/>
          <w:caps w:val="0"/>
          <w:color w:val="000000"/>
          <w:spacing w:val="0"/>
          <w:sz w:val="32"/>
          <w:szCs w:val="32"/>
          <w:shd w:val="clear" w:fill="FFFFFF"/>
          <w:vertAlign w:val="subscript"/>
        </w:rPr>
        <w:t>1</w:t>
      </w:r>
      <w:r>
        <w:rPr>
          <w:rFonts w:hint="default" w:ascii="Times New Roman" w:hAnsi="Times New Roman" w:eastAsia="方正仿宋_GBK" w:cs="Times New Roman"/>
          <w:i w:val="0"/>
          <w:caps w:val="0"/>
          <w:color w:val="000000"/>
          <w:spacing w:val="0"/>
          <w:sz w:val="32"/>
          <w:szCs w:val="32"/>
          <w:shd w:val="clear" w:fill="FFFFFF"/>
        </w:rPr>
        <w:t>、R</w:t>
      </w:r>
      <w:r>
        <w:rPr>
          <w:rFonts w:hint="default" w:ascii="Times New Roman" w:hAnsi="Times New Roman" w:eastAsia="方正仿宋_GBK" w:cs="Times New Roman"/>
          <w:i w:val="0"/>
          <w:caps w:val="0"/>
          <w:color w:val="000000"/>
          <w:spacing w:val="0"/>
          <w:sz w:val="32"/>
          <w:szCs w:val="32"/>
          <w:shd w:val="clear" w:fill="FFFFFF"/>
          <w:vertAlign w:val="subscript"/>
        </w:rPr>
        <w:t>2</w:t>
      </w:r>
      <w:r>
        <w:rPr>
          <w:rFonts w:hint="default" w:ascii="Times New Roman" w:hAnsi="Times New Roman" w:eastAsia="方正仿宋_GBK" w:cs="Times New Roman"/>
          <w:i w:val="0"/>
          <w:caps w:val="0"/>
          <w:color w:val="000000"/>
          <w:spacing w:val="0"/>
          <w:sz w:val="32"/>
          <w:szCs w:val="32"/>
          <w:shd w:val="clear" w:fill="FFFFFF"/>
        </w:rPr>
        <w:t>为上述《容积率修正系数表》中所列的相邻容积率）时，按下列公式计算容积率修正系数（X）：</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X=X</w:t>
      </w:r>
      <w:r>
        <w:rPr>
          <w:rFonts w:hint="default" w:ascii="Times New Roman" w:hAnsi="Times New Roman" w:eastAsia="方正仿宋_GBK" w:cs="Times New Roman"/>
          <w:i w:val="0"/>
          <w:caps w:val="0"/>
          <w:color w:val="000000"/>
          <w:spacing w:val="0"/>
          <w:sz w:val="32"/>
          <w:szCs w:val="32"/>
          <w:shd w:val="clear" w:fill="FFFFFF"/>
          <w:vertAlign w:val="subscript"/>
        </w:rPr>
        <w:t>1</w:t>
      </w:r>
      <w:r>
        <w:rPr>
          <w:rFonts w:hint="default" w:ascii="Times New Roman" w:hAnsi="Times New Roman" w:eastAsia="方正仿宋_GBK" w:cs="Times New Roman"/>
          <w:i w:val="0"/>
          <w:caps w:val="0"/>
          <w:color w:val="000000"/>
          <w:spacing w:val="0"/>
          <w:sz w:val="32"/>
          <w:szCs w:val="32"/>
          <w:shd w:val="clear" w:fill="FFFFFF"/>
        </w:rPr>
        <w:t>+（X</w:t>
      </w:r>
      <w:r>
        <w:rPr>
          <w:rFonts w:hint="default" w:ascii="Times New Roman" w:hAnsi="Times New Roman" w:eastAsia="方正仿宋_GBK" w:cs="Times New Roman"/>
          <w:i w:val="0"/>
          <w:caps w:val="0"/>
          <w:color w:val="000000"/>
          <w:spacing w:val="0"/>
          <w:sz w:val="32"/>
          <w:szCs w:val="32"/>
          <w:shd w:val="clear" w:fill="FFFFFF"/>
          <w:vertAlign w:val="subscript"/>
        </w:rPr>
        <w:t>2</w:t>
      </w:r>
      <w:r>
        <w:rPr>
          <w:rFonts w:hint="default" w:ascii="Times New Roman" w:hAnsi="Times New Roman" w:eastAsia="方正仿宋_GBK" w:cs="Times New Roman"/>
          <w:i w:val="0"/>
          <w:caps w:val="0"/>
          <w:color w:val="000000"/>
          <w:spacing w:val="0"/>
          <w:sz w:val="32"/>
          <w:szCs w:val="32"/>
          <w:shd w:val="clear" w:fill="FFFFFF"/>
        </w:rPr>
        <w:t>-X</w:t>
      </w:r>
      <w:r>
        <w:rPr>
          <w:rFonts w:hint="default" w:ascii="Times New Roman" w:hAnsi="Times New Roman" w:eastAsia="方正仿宋_GBK" w:cs="Times New Roman"/>
          <w:i w:val="0"/>
          <w:caps w:val="0"/>
          <w:color w:val="000000"/>
          <w:spacing w:val="0"/>
          <w:sz w:val="32"/>
          <w:szCs w:val="32"/>
          <w:shd w:val="clear" w:fill="FFFFFF"/>
          <w:vertAlign w:val="subscript"/>
        </w:rPr>
        <w:t>1</w:t>
      </w:r>
      <w:r>
        <w:rPr>
          <w:rFonts w:hint="default" w:ascii="Times New Roman" w:hAnsi="Times New Roman" w:eastAsia="方正仿宋_GBK" w:cs="Times New Roman"/>
          <w:i w:val="0"/>
          <w:caps w:val="0"/>
          <w:color w:val="000000"/>
          <w:spacing w:val="0"/>
          <w:sz w:val="32"/>
          <w:szCs w:val="32"/>
          <w:shd w:val="clear" w:fill="FFFFFF"/>
        </w:rPr>
        <w:t>）×（R-R</w:t>
      </w:r>
      <w:r>
        <w:rPr>
          <w:rFonts w:hint="default" w:ascii="Times New Roman" w:hAnsi="Times New Roman" w:eastAsia="方正仿宋_GBK" w:cs="Times New Roman"/>
          <w:i w:val="0"/>
          <w:caps w:val="0"/>
          <w:color w:val="000000"/>
          <w:spacing w:val="0"/>
          <w:sz w:val="32"/>
          <w:szCs w:val="32"/>
          <w:shd w:val="clear" w:fill="FFFFFF"/>
          <w:vertAlign w:val="subscript"/>
        </w:rPr>
        <w:t>1</w:t>
      </w:r>
      <w:r>
        <w:rPr>
          <w:rFonts w:hint="default" w:ascii="Times New Roman" w:hAnsi="Times New Roman" w:eastAsia="方正仿宋_GBK" w:cs="Times New Roman"/>
          <w:i w:val="0"/>
          <w:caps w:val="0"/>
          <w:color w:val="000000"/>
          <w:spacing w:val="0"/>
          <w:sz w:val="32"/>
          <w:szCs w:val="32"/>
          <w:shd w:val="clear" w:fill="FFFFFF"/>
        </w:rPr>
        <w:t>）/（R</w:t>
      </w:r>
      <w:r>
        <w:rPr>
          <w:rFonts w:hint="default" w:ascii="Times New Roman" w:hAnsi="Times New Roman" w:eastAsia="方正仿宋_GBK" w:cs="Times New Roman"/>
          <w:i w:val="0"/>
          <w:caps w:val="0"/>
          <w:color w:val="000000"/>
          <w:spacing w:val="0"/>
          <w:sz w:val="32"/>
          <w:szCs w:val="32"/>
          <w:shd w:val="clear" w:fill="FFFFFF"/>
          <w:vertAlign w:val="subscript"/>
        </w:rPr>
        <w:t>2</w:t>
      </w:r>
      <w:r>
        <w:rPr>
          <w:rFonts w:hint="default" w:ascii="Times New Roman" w:hAnsi="Times New Roman" w:eastAsia="方正仿宋_GBK" w:cs="Times New Roman"/>
          <w:i w:val="0"/>
          <w:caps w:val="0"/>
          <w:color w:val="000000"/>
          <w:spacing w:val="0"/>
          <w:sz w:val="32"/>
          <w:szCs w:val="32"/>
          <w:shd w:val="clear" w:fill="FFFFFF"/>
        </w:rPr>
        <w:t>-R</w:t>
      </w:r>
      <w:r>
        <w:rPr>
          <w:rFonts w:hint="default" w:ascii="Times New Roman" w:hAnsi="Times New Roman" w:eastAsia="方正仿宋_GBK" w:cs="Times New Roman"/>
          <w:i w:val="0"/>
          <w:caps w:val="0"/>
          <w:color w:val="000000"/>
          <w:spacing w:val="0"/>
          <w:sz w:val="32"/>
          <w:szCs w:val="32"/>
          <w:shd w:val="clear" w:fill="FFFFFF"/>
          <w:vertAlign w:val="subscript"/>
        </w:rPr>
        <w:t>1</w:t>
      </w:r>
      <w:r>
        <w:rPr>
          <w:rFonts w:hint="default" w:ascii="Times New Roman" w:hAnsi="Times New Roman" w:eastAsia="方正仿宋_GBK" w:cs="Times New Roman"/>
          <w:i w:val="0"/>
          <w:caps w:val="0"/>
          <w:color w:val="000000"/>
          <w:spacing w:val="0"/>
          <w:sz w:val="32"/>
          <w:szCs w:val="32"/>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X</w:t>
      </w:r>
      <w:r>
        <w:rPr>
          <w:rFonts w:hint="default" w:ascii="Times New Roman" w:hAnsi="Times New Roman" w:eastAsia="方正仿宋_GBK" w:cs="Times New Roman"/>
          <w:i w:val="0"/>
          <w:caps w:val="0"/>
          <w:color w:val="000000"/>
          <w:spacing w:val="0"/>
          <w:sz w:val="32"/>
          <w:szCs w:val="32"/>
          <w:shd w:val="clear" w:fill="FFFFFF"/>
          <w:vertAlign w:val="subscript"/>
        </w:rPr>
        <w:t>1</w:t>
      </w:r>
      <w:r>
        <w:rPr>
          <w:rFonts w:hint="default" w:ascii="Times New Roman" w:hAnsi="Times New Roman" w:eastAsia="方正仿宋_GBK" w:cs="Times New Roman"/>
          <w:i w:val="0"/>
          <w:caps w:val="0"/>
          <w:color w:val="000000"/>
          <w:spacing w:val="0"/>
          <w:sz w:val="32"/>
          <w:szCs w:val="32"/>
          <w:shd w:val="clear" w:fill="FFFFFF"/>
        </w:rPr>
        <w:t>、X</w:t>
      </w:r>
      <w:r>
        <w:rPr>
          <w:rFonts w:hint="default" w:ascii="Times New Roman" w:hAnsi="Times New Roman" w:eastAsia="方正仿宋_GBK" w:cs="Times New Roman"/>
          <w:i w:val="0"/>
          <w:caps w:val="0"/>
          <w:color w:val="000000"/>
          <w:spacing w:val="0"/>
          <w:sz w:val="32"/>
          <w:szCs w:val="32"/>
          <w:shd w:val="clear" w:fill="FFFFFF"/>
          <w:vertAlign w:val="subscript"/>
        </w:rPr>
        <w:t>2</w:t>
      </w:r>
      <w:r>
        <w:rPr>
          <w:rFonts w:hint="default" w:ascii="Times New Roman" w:hAnsi="Times New Roman" w:eastAsia="方正仿宋_GBK" w:cs="Times New Roman"/>
          <w:i w:val="0"/>
          <w:caps w:val="0"/>
          <w:color w:val="000000"/>
          <w:spacing w:val="0"/>
          <w:sz w:val="32"/>
          <w:szCs w:val="32"/>
          <w:shd w:val="clear" w:fill="FFFFFF"/>
        </w:rPr>
        <w:t>为R</w:t>
      </w:r>
      <w:r>
        <w:rPr>
          <w:rFonts w:hint="default" w:ascii="Times New Roman" w:hAnsi="Times New Roman" w:eastAsia="方正仿宋_GBK" w:cs="Times New Roman"/>
          <w:i w:val="0"/>
          <w:caps w:val="0"/>
          <w:color w:val="000000"/>
          <w:spacing w:val="0"/>
          <w:sz w:val="32"/>
          <w:szCs w:val="32"/>
          <w:shd w:val="clear" w:fill="FFFFFF"/>
          <w:vertAlign w:val="subscript"/>
        </w:rPr>
        <w:t>1</w:t>
      </w:r>
      <w:r>
        <w:rPr>
          <w:rFonts w:hint="default" w:ascii="Times New Roman" w:hAnsi="Times New Roman" w:eastAsia="方正仿宋_GBK" w:cs="Times New Roman"/>
          <w:i w:val="0"/>
          <w:caps w:val="0"/>
          <w:color w:val="000000"/>
          <w:spacing w:val="0"/>
          <w:sz w:val="32"/>
          <w:szCs w:val="32"/>
          <w:shd w:val="clear" w:fill="FFFFFF"/>
        </w:rPr>
        <w:t>、R</w:t>
      </w:r>
      <w:r>
        <w:rPr>
          <w:rFonts w:hint="default" w:ascii="Times New Roman" w:hAnsi="Times New Roman" w:eastAsia="方正仿宋_GBK" w:cs="Times New Roman"/>
          <w:i w:val="0"/>
          <w:caps w:val="0"/>
          <w:color w:val="000000"/>
          <w:spacing w:val="0"/>
          <w:sz w:val="32"/>
          <w:szCs w:val="32"/>
          <w:shd w:val="clear" w:fill="FFFFFF"/>
          <w:vertAlign w:val="subscript"/>
        </w:rPr>
        <w:t>2</w:t>
      </w:r>
      <w:r>
        <w:rPr>
          <w:rFonts w:hint="default" w:ascii="Times New Roman" w:hAnsi="Times New Roman" w:eastAsia="方正仿宋_GBK" w:cs="Times New Roman"/>
          <w:i w:val="0"/>
          <w:caps w:val="0"/>
          <w:color w:val="000000"/>
          <w:spacing w:val="0"/>
          <w:sz w:val="32"/>
          <w:szCs w:val="32"/>
          <w:shd w:val="clear" w:fill="FFFFFF"/>
        </w:rPr>
        <w:t>所对应的容积率修正系数。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6．土地开发程度修正值的确定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当宗地的土地开发程度与基准地价设定的土地开发程度不一致时，应根据《土地开发程度修正值表》确定开发程度修正值。</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上述《土地开发程度修正值表》中的土地开发程度修正值为土地面积单价，应用中应按下列公式换算为建筑面积单价：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宗地地上计容部分的土地开发程度修正值（建筑面积单价）=土地开发程度修正值（土地面积单价）÷宗地容积率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宗地地下不计容部分的土地开发程度修正值（建筑面积单价）=土地开发程度修正值（土地面积单价）÷（宗地地下不计容建筑面积÷宗地土地面积）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宗地同时具有地上计容部分和地下不计容部分的，评估时只计算宗地地上计容部分的土地开发程度修正值，地下不计容部分的土地开发程度不作修正。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7．区域和个别因素修正系数的确定</w:t>
      </w:r>
      <w:r>
        <w:rPr>
          <w:rFonts w:ascii="宋体" w:hAnsi="宋体" w:eastAsia="宋体" w:cs="宋体"/>
          <w:sz w:val="24"/>
          <w:szCs w:val="24"/>
        </w:rPr>
        <w:t>​</w:t>
      </w:r>
      <w:r>
        <w:rPr>
          <w:rFonts w:ascii="宋体" w:hAnsi="宋体" w:eastAsia="宋体" w:cs="宋体"/>
          <w:sz w:val="24"/>
          <w:szCs w:val="24"/>
        </w:rPr>
        <w:drawing>
          <wp:inline distT="0" distB="0" distL="114300" distR="114300">
            <wp:extent cx="304800" cy="304800"/>
            <wp:effectExtent l="0" t="0" r="0" b="0"/>
            <wp:docPr id="20"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42875" cy="142875"/>
            <wp:effectExtent l="0" t="0" r="0" b="0"/>
            <wp:docPr id="19" name="图片 16" descr="点击并拖拽以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点击并拖拽以移动"/>
                    <pic:cNvPicPr>
                      <a:picLocks noChangeAspect="1"/>
                    </pic:cNvPicPr>
                  </pic:nvPicPr>
                  <pic:blipFill>
                    <a:blip r:embed="rId6"/>
                    <a:stretch>
                      <a:fillRect/>
                    </a:stretch>
                  </pic:blipFill>
                  <pic:spPr>
                    <a:xfrm>
                      <a:off x="0" y="0"/>
                      <a:ext cx="142875" cy="142875"/>
                    </a:xfrm>
                    <a:prstGeom prst="rect">
                      <a:avLst/>
                    </a:prstGeom>
                    <a:noFill/>
                    <a:ln w="9525">
                      <a:noFill/>
                    </a:ln>
                  </pic:spPr>
                </pic:pic>
              </a:graphicData>
            </a:graphic>
          </wp:inline>
        </w:drawing>
      </w:r>
      <w:r>
        <w:rPr>
          <w:rFonts w:ascii="宋体" w:hAnsi="宋体" w:eastAsia="宋体" w:cs="宋体"/>
          <w:sz w:val="24"/>
          <w:szCs w:val="24"/>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500" w:lineRule="exact"/>
        <w:ind w:left="0" w:leftChars="0" w:right="0" w:rightChars="0" w:firstLine="420" w:firstLineChars="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u w:val="none"/>
          <w:shd w:val="clear" w:fill="FFFFFF"/>
        </w:rPr>
        <w:drawing>
          <wp:inline distT="0" distB="0" distL="114300" distR="114300">
            <wp:extent cx="304800" cy="304800"/>
            <wp:effectExtent l="0" t="0" r="0" b="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drawing>
          <wp:inline distT="0" distB="0" distL="114300" distR="114300">
            <wp:extent cx="3361690" cy="666750"/>
            <wp:effectExtent l="0" t="0" r="10160" b="0"/>
            <wp:docPr id="2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1"/>
                    <pic:cNvPicPr>
                      <a:picLocks noChangeAspect="1"/>
                    </pic:cNvPicPr>
                  </pic:nvPicPr>
                  <pic:blipFill>
                    <a:blip r:embed="rId8"/>
                    <a:stretch>
                      <a:fillRect/>
                    </a:stretch>
                  </pic:blipFill>
                  <pic:spPr>
                    <a:xfrm>
                      <a:off x="0" y="0"/>
                      <a:ext cx="3361690" cy="666750"/>
                    </a:xfrm>
                    <a:prstGeom prst="rect">
                      <a:avLst/>
                    </a:prstGeom>
                    <a:noFill/>
                    <a:ln w="9525">
                      <a:noFill/>
                    </a:ln>
                  </pic:spPr>
                </pic:pic>
              </a:graphicData>
            </a:graphic>
          </wp:inline>
        </w:drawing>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按照《区域和个别因素修正系数表》，根据宗地各种因素情况确定每种因素的修正系数，应用上述公式测算宗地的区域和个别因素修正系数。</w:t>
      </w:r>
      <w:r>
        <w:rPr>
          <w:rStyle w:val="8"/>
          <w:rFonts w:hint="default" w:ascii="Times New Roman" w:hAnsi="Times New Roman" w:eastAsia="方正仿宋_GBK" w:cs="Times New Roman"/>
          <w:i/>
          <w:caps w:val="0"/>
          <w:color w:val="000000"/>
          <w:spacing w:val="0"/>
          <w:sz w:val="32"/>
          <w:szCs w:val="32"/>
          <w:shd w:val="clear" w:fill="FFFFFF"/>
        </w:rPr>
        <w:t>K</w:t>
      </w:r>
      <w:r>
        <w:rPr>
          <w:rStyle w:val="8"/>
          <w:rFonts w:hint="default" w:ascii="Times New Roman" w:hAnsi="Times New Roman" w:eastAsia="方正仿宋_GBK" w:cs="Times New Roman"/>
          <w:i/>
          <w:caps w:val="0"/>
          <w:color w:val="000000"/>
          <w:spacing w:val="0"/>
          <w:sz w:val="32"/>
          <w:szCs w:val="32"/>
          <w:shd w:val="clear" w:fill="FFFFFF"/>
          <w:vertAlign w:val="subscript"/>
        </w:rPr>
        <w:t>i</w:t>
      </w:r>
      <w:r>
        <w:rPr>
          <w:rFonts w:hint="default" w:ascii="Times New Roman" w:hAnsi="Times New Roman" w:eastAsia="方正仿宋_GBK" w:cs="Times New Roman"/>
          <w:i w:val="0"/>
          <w:caps w:val="0"/>
          <w:color w:val="000000"/>
          <w:spacing w:val="0"/>
          <w:sz w:val="32"/>
          <w:szCs w:val="32"/>
          <w:shd w:val="clear" w:fill="FFFFFF"/>
        </w:rPr>
        <w:t>为第</w:t>
      </w:r>
      <w:r>
        <w:rPr>
          <w:rStyle w:val="8"/>
          <w:rFonts w:hint="default" w:ascii="Times New Roman" w:hAnsi="Times New Roman" w:eastAsia="方正仿宋_GBK" w:cs="Times New Roman"/>
          <w:i/>
          <w:caps w:val="0"/>
          <w:color w:val="000000"/>
          <w:spacing w:val="0"/>
          <w:sz w:val="32"/>
          <w:szCs w:val="32"/>
          <w:shd w:val="clear" w:fill="FFFFFF"/>
        </w:rPr>
        <w:t>i</w:t>
      </w:r>
      <w:r>
        <w:rPr>
          <w:rFonts w:hint="default" w:ascii="Times New Roman" w:hAnsi="Times New Roman" w:eastAsia="方正仿宋_GBK" w:cs="Times New Roman"/>
          <w:i w:val="0"/>
          <w:caps w:val="0"/>
          <w:color w:val="000000"/>
          <w:spacing w:val="0"/>
          <w:sz w:val="32"/>
          <w:szCs w:val="32"/>
          <w:shd w:val="clear" w:fill="FFFFFF"/>
        </w:rPr>
        <w:t>种因素的修正系数。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附表：1．土地用途修正系数表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 xml:space="preserve"> 2．地下空间修正系数表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xml:space="preserve">    </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  3．容积率修正系数表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xml:space="preserve">      </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4．土地开发程度修正值表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 xml:space="preserve">   5．区域和个别因素修正系数表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xml:space="preserve">  </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    6. 年期修正系数表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附表1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土地用途修正系数表</w:t>
      </w:r>
    </w:p>
    <w:tbl>
      <w:tblPr>
        <w:tblStyle w:val="5"/>
        <w:tblW w:w="887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52"/>
        <w:gridCol w:w="1279"/>
        <w:gridCol w:w="5881"/>
        <w:gridCol w:w="9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6" w:hRule="atLeast"/>
          <w:jc w:val="center"/>
        </w:trPr>
        <w:tc>
          <w:tcPr>
            <w:tcW w:w="75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用途</w:t>
            </w:r>
          </w:p>
        </w:tc>
        <w:tc>
          <w:tcPr>
            <w:tcW w:w="127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用途类别划分</w:t>
            </w: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范围</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用途修正系数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5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商业</w:t>
            </w:r>
          </w:p>
        </w:tc>
        <w:tc>
          <w:tcPr>
            <w:tcW w:w="127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w:t>
            </w: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批发零售用地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27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w:t>
            </w: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商业用地（特指规划用地分类中未明确具体小类用途的B1用地）、居住用地中配建的商业设施用地、其他用地中的配套经营性设施用地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金融保险用地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住宿餐饮用地、娱乐康体用地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其他商服用地（特指加油站、加气站用地）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其他商服用地（特指停车场（库）用地）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其他商服用地（特指加油站、加气站及停车场（库）以外的其他商服用地）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殡葬用地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办公</w:t>
            </w:r>
          </w:p>
        </w:tc>
        <w:tc>
          <w:tcPr>
            <w:tcW w:w="127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w:t>
            </w: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商务办公用地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3" w:hRule="atLeast"/>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w:t>
            </w: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商务用地（特指规划用地分类中未明确具体小类用途的B2用地）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7" w:hRule="atLeast"/>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艺术传媒用地、行政办公用地、教育科研用地（特指科研事业单位用地）、医疗卫生用地、外事用地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文化设施用地（特指展览馆、会展中心等用地）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8" w:hRule="atLeast"/>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文化设施用地（特指展览馆、会展中心以外的文化设施用地）、教育科研用地（特指高等院校、中等专业学校、中小学、特殊教育学校用地）、体育用地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社会福利设施用地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监教安保用地、宗教用地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住宅</w:t>
            </w:r>
          </w:p>
        </w:tc>
        <w:tc>
          <w:tcPr>
            <w:tcW w:w="127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w:t>
            </w: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二类居住用地中的住宅用地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27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w:t>
            </w: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一类居住用地中的住宅用地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三类居住用地中的住宅用地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工业</w:t>
            </w:r>
          </w:p>
        </w:tc>
        <w:tc>
          <w:tcPr>
            <w:tcW w:w="127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w:t>
            </w: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工业用地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w:t>
            </w: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物流仓储用地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采矿用地、公用设施用地、交通水利设施用地</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备注：表中未注明具体内涵的用途按照本说明中土地用途分类的内涵界定。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附表2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容积率修正系数表</w:t>
      </w:r>
    </w:p>
    <w:tbl>
      <w:tblPr>
        <w:tblStyle w:val="5"/>
        <w:tblW w:w="88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13"/>
        <w:gridCol w:w="2215"/>
        <w:gridCol w:w="2213"/>
        <w:gridCol w:w="22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容积率</w:t>
            </w:r>
          </w:p>
        </w:tc>
        <w:tc>
          <w:tcPr>
            <w:tcW w:w="22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商业</w:t>
            </w:r>
          </w:p>
        </w:tc>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办公</w:t>
            </w:r>
          </w:p>
        </w:tc>
        <w:tc>
          <w:tcPr>
            <w:tcW w:w="22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22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1.84</w:t>
            </w:r>
          </w:p>
        </w:tc>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1.71</w:t>
            </w:r>
          </w:p>
        </w:tc>
        <w:tc>
          <w:tcPr>
            <w:tcW w:w="22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22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1.44</w:t>
            </w:r>
          </w:p>
        </w:tc>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c>
          <w:tcPr>
            <w:tcW w:w="22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22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1.16</w:t>
            </w:r>
          </w:p>
        </w:tc>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1.07</w:t>
            </w:r>
          </w:p>
        </w:tc>
        <w:tc>
          <w:tcPr>
            <w:tcW w:w="22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22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1.06</w:t>
            </w:r>
          </w:p>
        </w:tc>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1.04</w:t>
            </w:r>
          </w:p>
        </w:tc>
        <w:tc>
          <w:tcPr>
            <w:tcW w:w="22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22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22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c>
          <w:tcPr>
            <w:tcW w:w="22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0.95</w:t>
            </w:r>
          </w:p>
        </w:tc>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0.94</w:t>
            </w:r>
          </w:p>
        </w:tc>
        <w:tc>
          <w:tcPr>
            <w:tcW w:w="22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22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w:t>
            </w:r>
          </w:p>
        </w:tc>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0.89</w:t>
            </w:r>
          </w:p>
        </w:tc>
        <w:tc>
          <w:tcPr>
            <w:tcW w:w="22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w:t>
            </w:r>
          </w:p>
        </w:tc>
        <w:tc>
          <w:tcPr>
            <w:tcW w:w="22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0.86</w:t>
            </w:r>
          </w:p>
        </w:tc>
        <w:tc>
          <w:tcPr>
            <w:tcW w:w="22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0.85</w:t>
            </w:r>
          </w:p>
        </w:tc>
        <w:tc>
          <w:tcPr>
            <w:tcW w:w="22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0.89</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附表3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地下空间修正系数表</w:t>
      </w:r>
    </w:p>
    <w:tbl>
      <w:tblPr>
        <w:tblStyle w:val="5"/>
        <w:tblW w:w="887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880"/>
        <w:gridCol w:w="2358"/>
        <w:gridCol w:w="2402"/>
        <w:gridCol w:w="22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4" w:hRule="atLeast"/>
          <w:jc w:val="center"/>
        </w:trPr>
        <w:tc>
          <w:tcPr>
            <w:tcW w:w="18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地下空间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用途</w:t>
            </w:r>
          </w:p>
        </w:tc>
        <w:tc>
          <w:tcPr>
            <w:tcW w:w="23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适用的基准地价</w:t>
            </w:r>
          </w:p>
        </w:tc>
        <w:tc>
          <w:tcPr>
            <w:tcW w:w="240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楼层</w:t>
            </w:r>
          </w:p>
        </w:tc>
        <w:tc>
          <w:tcPr>
            <w:tcW w:w="22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地下空间修正系数表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4" w:hRule="atLeast"/>
          <w:jc w:val="center"/>
        </w:trPr>
        <w:tc>
          <w:tcPr>
            <w:tcW w:w="188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商业</w:t>
            </w:r>
          </w:p>
        </w:tc>
        <w:tc>
          <w:tcPr>
            <w:tcW w:w="2358"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商业用途基准类别</w:t>
            </w:r>
          </w:p>
        </w:tc>
        <w:tc>
          <w:tcPr>
            <w:tcW w:w="240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地下第一层</w:t>
            </w:r>
          </w:p>
        </w:tc>
        <w:tc>
          <w:tcPr>
            <w:tcW w:w="22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4" w:hRule="atLeast"/>
          <w:jc w:val="center"/>
        </w:trPr>
        <w:tc>
          <w:tcPr>
            <w:tcW w:w="188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358"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0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地下第二层及以下</w:t>
            </w:r>
          </w:p>
        </w:tc>
        <w:tc>
          <w:tcPr>
            <w:tcW w:w="22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4" w:hRule="atLeast"/>
          <w:jc w:val="center"/>
        </w:trPr>
        <w:tc>
          <w:tcPr>
            <w:tcW w:w="18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住宅</w:t>
            </w:r>
          </w:p>
        </w:tc>
        <w:tc>
          <w:tcPr>
            <w:tcW w:w="23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住宅用途基准类别</w:t>
            </w:r>
          </w:p>
        </w:tc>
        <w:tc>
          <w:tcPr>
            <w:tcW w:w="240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地下各层</w:t>
            </w:r>
          </w:p>
        </w:tc>
        <w:tc>
          <w:tcPr>
            <w:tcW w:w="22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4" w:hRule="atLeast"/>
          <w:jc w:val="center"/>
        </w:trPr>
        <w:tc>
          <w:tcPr>
            <w:tcW w:w="18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工业</w:t>
            </w:r>
          </w:p>
        </w:tc>
        <w:tc>
          <w:tcPr>
            <w:tcW w:w="23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工业用途基准类别</w:t>
            </w:r>
          </w:p>
        </w:tc>
        <w:tc>
          <w:tcPr>
            <w:tcW w:w="240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地下各层</w:t>
            </w:r>
          </w:p>
        </w:tc>
        <w:tc>
          <w:tcPr>
            <w:tcW w:w="22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4" w:hRule="atLeast"/>
          <w:jc w:val="center"/>
        </w:trPr>
        <w:tc>
          <w:tcPr>
            <w:tcW w:w="18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车库</w:t>
            </w:r>
          </w:p>
        </w:tc>
        <w:tc>
          <w:tcPr>
            <w:tcW w:w="23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商业用途基准类别</w:t>
            </w:r>
          </w:p>
        </w:tc>
        <w:tc>
          <w:tcPr>
            <w:tcW w:w="240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地下各层</w:t>
            </w:r>
          </w:p>
        </w:tc>
        <w:tc>
          <w:tcPr>
            <w:tcW w:w="22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b w:val="0"/>
          <w:bCs/>
          <w:sz w:val="32"/>
          <w:szCs w:val="32"/>
        </w:rPr>
        <w:t>备注：</w:t>
      </w:r>
      <w:r>
        <w:rPr>
          <w:rFonts w:hint="default" w:ascii="Times New Roman" w:hAnsi="Times New Roman" w:eastAsia="方正仿宋_GBK" w:cs="Times New Roman"/>
          <w:sz w:val="32"/>
          <w:szCs w:val="32"/>
        </w:rPr>
        <w:t>地下空间指地下不计容建筑部分。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附表4</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土地开发程度修正值表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单位：元/平方米（土地面积）</w:t>
      </w:r>
    </w:p>
    <w:tbl>
      <w:tblPr>
        <w:tblStyle w:val="5"/>
        <w:tblW w:w="886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183"/>
        <w:gridCol w:w="947"/>
        <w:gridCol w:w="947"/>
        <w:gridCol w:w="947"/>
        <w:gridCol w:w="947"/>
        <w:gridCol w:w="947"/>
        <w:gridCol w:w="947"/>
        <w:gridCol w:w="1209"/>
        <w:gridCol w:w="7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5" w:hRule="atLeast"/>
          <w:jc w:val="center"/>
        </w:trPr>
        <w:tc>
          <w:tcPr>
            <w:tcW w:w="118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程度</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通路</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通上水</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通下水</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通电</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通讯</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通燃气</w:t>
            </w:r>
          </w:p>
        </w:tc>
        <w:tc>
          <w:tcPr>
            <w:tcW w:w="12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场地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平整</w:t>
            </w:r>
          </w:p>
        </w:tc>
        <w:tc>
          <w:tcPr>
            <w:tcW w:w="7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9" w:hRule="atLeast"/>
          <w:jc w:val="center"/>
        </w:trPr>
        <w:tc>
          <w:tcPr>
            <w:tcW w:w="118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费用</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9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12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7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附表5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区域和个别因素修正系数表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表5-1 商业用地基准地价修正因素指标说明表</w:t>
      </w:r>
    </w:p>
    <w:tbl>
      <w:tblPr>
        <w:tblStyle w:val="5"/>
        <w:tblW w:w="88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84"/>
        <w:gridCol w:w="557"/>
        <w:gridCol w:w="1531"/>
        <w:gridCol w:w="1018"/>
        <w:gridCol w:w="1418"/>
        <w:gridCol w:w="1612"/>
        <w:gridCol w:w="1418"/>
        <w:gridCol w:w="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2572"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宗地修正因素</w:t>
            </w:r>
          </w:p>
        </w:tc>
        <w:tc>
          <w:tcPr>
            <w:tcW w:w="101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w:t>
            </w:r>
          </w:p>
        </w:tc>
        <w:tc>
          <w:tcPr>
            <w:tcW w:w="141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较优</w:t>
            </w:r>
          </w:p>
        </w:tc>
        <w:tc>
          <w:tcPr>
            <w:tcW w:w="1612"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141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较差</w:t>
            </w:r>
          </w:p>
        </w:tc>
        <w:tc>
          <w:tcPr>
            <w:tcW w:w="837"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09" w:hRule="atLeast"/>
          <w:jc w:val="center"/>
        </w:trPr>
        <w:tc>
          <w:tcPr>
            <w:tcW w:w="484"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区域因素</w:t>
            </w:r>
          </w:p>
        </w:tc>
        <w:tc>
          <w:tcPr>
            <w:tcW w:w="557"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商服繁华度</w:t>
            </w:r>
          </w:p>
        </w:tc>
        <w:tc>
          <w:tcPr>
            <w:tcW w:w="153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商服类型</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金融、综合性大商场</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首饰店、家用电器、服装、宾馆、饮食</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美容美发、日用百货.除宾馆外的其他旅游娱乐</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粮油、副食店、停车场</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加油站、营业性服务用地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55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3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距离商服中心距离（m）</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501-1000</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1001-2000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2001-4000</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7"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55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3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商业网点密度</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密集</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较密集</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较不密集</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不密集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8"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557"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交通条件</w:t>
            </w:r>
          </w:p>
        </w:tc>
        <w:tc>
          <w:tcPr>
            <w:tcW w:w="153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道路类型</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100米内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有主干道</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200米内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有主干道</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300米内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有主干道</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300米内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有次干道</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300米外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有次干道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4"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5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53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公交线路数（条）</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5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53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距长途汽车站的距离（m）</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500-1000</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1000-2000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2000-3500</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4"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5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53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距港口的距离（m）</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500-1000</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1000-2000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2000-3500</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5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53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距高速公路出口的距离（m）</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1000-2000</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2000-3000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3000-5000</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4"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57"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基础设施条件</w:t>
            </w:r>
          </w:p>
        </w:tc>
        <w:tc>
          <w:tcPr>
            <w:tcW w:w="153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供水保证度（%）</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70-85</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4"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5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53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供电保证度（%）</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75-85</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4"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5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53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通信</w:t>
            </w:r>
            <w:r>
              <w:rPr>
                <w:rFonts w:hint="default" w:ascii="Times New Roman" w:hAnsi="Times New Roman" w:eastAsia="方正仿宋_GBK" w:cs="Times New Roman"/>
                <w:sz w:val="32"/>
                <w:szCs w:val="32"/>
              </w:rPr>
              <w:t>保证度（%）</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75-85</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1"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088"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人口状况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（客流万人次/日）</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6-10</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0.5-2</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7"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088"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规划状况</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有利</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较有利</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无影响</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较不利</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1" w:hRule="atLeast"/>
          <w:jc w:val="center"/>
        </w:trPr>
        <w:tc>
          <w:tcPr>
            <w:tcW w:w="484"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个别因素</w:t>
            </w:r>
          </w:p>
        </w:tc>
        <w:tc>
          <w:tcPr>
            <w:tcW w:w="2088"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距公交站点的距离（m）</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100-300</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301-800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801-1500</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4"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088"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宗地临街状况</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三面临街</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两面临街</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一面临街</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袋地</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袋地（严重影响利用）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1"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088"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宗地宽深比</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1.2-1.6</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0.8-1.2</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0.5-0.8</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1" w:hRule="atLeast"/>
          <w:jc w:val="center"/>
        </w:trPr>
        <w:tc>
          <w:tcPr>
            <w:tcW w:w="484"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088"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宗地的整形度</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规则</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较规则</w:t>
            </w:r>
          </w:p>
        </w:tc>
        <w:tc>
          <w:tcPr>
            <w:tcW w:w="161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较不规则</w:t>
            </w:r>
          </w:p>
        </w:tc>
        <w:tc>
          <w:tcPr>
            <w:tcW w:w="83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不规则</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表5-2 商业用地基准地价修正系数表</w:t>
      </w:r>
    </w:p>
    <w:tbl>
      <w:tblPr>
        <w:tblStyle w:val="5"/>
        <w:tblW w:w="88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166"/>
        <w:gridCol w:w="1612"/>
        <w:gridCol w:w="2285"/>
        <w:gridCol w:w="720"/>
        <w:gridCol w:w="720"/>
        <w:gridCol w:w="718"/>
        <w:gridCol w:w="833"/>
        <w:gridCol w:w="8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2" w:hRule="atLeast"/>
          <w:jc w:val="center"/>
        </w:trPr>
        <w:tc>
          <w:tcPr>
            <w:tcW w:w="5063"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宗地修正因素</w:t>
            </w:r>
          </w:p>
        </w:tc>
        <w:tc>
          <w:tcPr>
            <w:tcW w:w="720"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w:t>
            </w:r>
          </w:p>
        </w:tc>
        <w:tc>
          <w:tcPr>
            <w:tcW w:w="720"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较优</w:t>
            </w:r>
          </w:p>
        </w:tc>
        <w:tc>
          <w:tcPr>
            <w:tcW w:w="71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833"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较差</w:t>
            </w:r>
          </w:p>
        </w:tc>
        <w:tc>
          <w:tcPr>
            <w:tcW w:w="817"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03" w:hRule="atLeast"/>
          <w:jc w:val="center"/>
        </w:trPr>
        <w:tc>
          <w:tcPr>
            <w:tcW w:w="1166"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因素</w:t>
            </w:r>
          </w:p>
        </w:tc>
        <w:tc>
          <w:tcPr>
            <w:tcW w:w="1612"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繁华度</w:t>
            </w:r>
          </w:p>
        </w:tc>
        <w:tc>
          <w:tcPr>
            <w:tcW w:w="228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商服类型</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6"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61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28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距离商服中心距离</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6"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61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28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商业网点密度</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4"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612"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交通条件</w:t>
            </w:r>
          </w:p>
        </w:tc>
        <w:tc>
          <w:tcPr>
            <w:tcW w:w="228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道路类型</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7"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61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28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公交线路数</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6"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61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28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距长途汽车站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距离</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7"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61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28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距港口的距离</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6"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61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28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距高速公路出口距离</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0.1</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-0.1</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7"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612"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基础设施条件</w:t>
            </w:r>
          </w:p>
        </w:tc>
        <w:tc>
          <w:tcPr>
            <w:tcW w:w="228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供水保证度</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7"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61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28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供电保证度</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7"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61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28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通信</w:t>
            </w:r>
            <w:r>
              <w:rPr>
                <w:rFonts w:hint="default" w:ascii="Times New Roman" w:hAnsi="Times New Roman" w:eastAsia="方正仿宋_GBK" w:cs="Times New Roman"/>
                <w:sz w:val="32"/>
                <w:szCs w:val="32"/>
              </w:rPr>
              <w:t>保证度</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9"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3897"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人口状况</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0"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3897"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规划状况</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7" w:hRule="atLeast"/>
          <w:jc w:val="center"/>
        </w:trPr>
        <w:tc>
          <w:tcPr>
            <w:tcW w:w="1166"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因素</w:t>
            </w:r>
          </w:p>
        </w:tc>
        <w:tc>
          <w:tcPr>
            <w:tcW w:w="3897"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距公交站点的距离</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6"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3897"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宗地临街状况</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9"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3897"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宗地宽深比</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9" w:hRule="atLeast"/>
          <w:jc w:val="center"/>
        </w:trPr>
        <w:tc>
          <w:tcPr>
            <w:tcW w:w="116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3897"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宗地的整形度</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5063"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调整幅度合计</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28.3</w:t>
            </w:r>
          </w:p>
        </w:tc>
        <w:tc>
          <w:tcPr>
            <w:tcW w:w="7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13.9</w:t>
            </w:r>
          </w:p>
        </w:tc>
        <w:tc>
          <w:tcPr>
            <w:tcW w:w="7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-13.9</w:t>
            </w:r>
          </w:p>
        </w:tc>
        <w:tc>
          <w:tcPr>
            <w:tcW w:w="81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-28.3</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表5-3 办公用地基准地价修正因素指标说明表</w:t>
      </w:r>
    </w:p>
    <w:tbl>
      <w:tblPr>
        <w:tblStyle w:val="5"/>
        <w:tblW w:w="88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16"/>
        <w:gridCol w:w="760"/>
        <w:gridCol w:w="1493"/>
        <w:gridCol w:w="1018"/>
        <w:gridCol w:w="1418"/>
        <w:gridCol w:w="1418"/>
        <w:gridCol w:w="1418"/>
        <w:gridCol w:w="7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2869" w:type="dxa"/>
            <w:gridSpan w:val="3"/>
            <w:tcBorders>
              <w:top w:val="single" w:color="000000" w:sz="8" w:space="0"/>
              <w:left w:val="single" w:color="000000" w:sz="8" w:space="0"/>
              <w:bottom w:val="outset" w:color="auto" w:sz="6"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宗地修正因素</w:t>
            </w:r>
          </w:p>
        </w:tc>
        <w:tc>
          <w:tcPr>
            <w:tcW w:w="1018" w:type="dxa"/>
            <w:tcBorders>
              <w:top w:val="single" w:color="000000" w:sz="8" w:space="0"/>
              <w:left w:val="outset" w:color="auto" w:sz="6" w:space="0"/>
              <w:bottom w:val="outset" w:color="auto" w:sz="6"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w:t>
            </w:r>
          </w:p>
        </w:tc>
        <w:tc>
          <w:tcPr>
            <w:tcW w:w="1418" w:type="dxa"/>
            <w:tcBorders>
              <w:top w:val="single" w:color="000000" w:sz="8" w:space="0"/>
              <w:left w:val="outset" w:color="auto" w:sz="6" w:space="0"/>
              <w:bottom w:val="outset" w:color="auto" w:sz="6"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较优</w:t>
            </w:r>
          </w:p>
        </w:tc>
        <w:tc>
          <w:tcPr>
            <w:tcW w:w="1418" w:type="dxa"/>
            <w:tcBorders>
              <w:top w:val="single" w:color="000000" w:sz="8" w:space="0"/>
              <w:left w:val="outset" w:color="auto" w:sz="6" w:space="0"/>
              <w:bottom w:val="outset" w:color="auto" w:sz="6"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1418" w:type="dxa"/>
            <w:tcBorders>
              <w:top w:val="single" w:color="000000" w:sz="8" w:space="0"/>
              <w:left w:val="outset" w:color="auto" w:sz="6" w:space="0"/>
              <w:bottom w:val="outset" w:color="auto" w:sz="6"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较差</w:t>
            </w:r>
          </w:p>
        </w:tc>
        <w:tc>
          <w:tcPr>
            <w:tcW w:w="734" w:type="dxa"/>
            <w:tcBorders>
              <w:top w:val="single" w:color="000000" w:sz="8" w:space="0"/>
              <w:left w:val="outset" w:color="auto" w:sz="6" w:space="0"/>
              <w:bottom w:val="outset" w:color="auto" w:sz="6"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616"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区域因素</w:t>
            </w:r>
          </w:p>
        </w:tc>
        <w:tc>
          <w:tcPr>
            <w:tcW w:w="76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商服繁华度</w:t>
            </w:r>
          </w:p>
        </w:tc>
        <w:tc>
          <w:tcPr>
            <w:tcW w:w="1493"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距商务中心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距离（m）</w:t>
            </w:r>
          </w:p>
        </w:tc>
        <w:tc>
          <w:tcPr>
            <w:tcW w:w="101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141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500-2000</w:t>
            </w:r>
          </w:p>
        </w:tc>
        <w:tc>
          <w:tcPr>
            <w:tcW w:w="141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2000-4000</w:t>
            </w:r>
          </w:p>
        </w:tc>
        <w:tc>
          <w:tcPr>
            <w:tcW w:w="141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4000-6000</w:t>
            </w:r>
          </w:p>
        </w:tc>
        <w:tc>
          <w:tcPr>
            <w:tcW w:w="734"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61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76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9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商务集聚程度</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密集</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较密集</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较不密集</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不密集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61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760"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交通条件</w:t>
            </w:r>
          </w:p>
        </w:tc>
        <w:tc>
          <w:tcPr>
            <w:tcW w:w="149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临街道路类型</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100米内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有主干道</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200米内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有主干道</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300米内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有主干道</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300米内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有次干道</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300米外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有次干道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61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760"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9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公交线路数（条）</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61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760"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9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距火车站的距离（m）</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800-1500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1500-3000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3000-5000</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61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760"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9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距长途汽车站的距离（m）</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500-1000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1000-2000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2000-3500</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61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760"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9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距高速公路出口的距离（m）</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1000-2000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2000-3000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3000-5000</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61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760"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基础设施条件</w:t>
            </w:r>
          </w:p>
        </w:tc>
        <w:tc>
          <w:tcPr>
            <w:tcW w:w="149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供水保证度（%）</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70-85</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61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760"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9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供电保证度（%）</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75-85</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61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760"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9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通信</w:t>
            </w:r>
            <w:r>
              <w:rPr>
                <w:rFonts w:hint="default" w:ascii="Times New Roman" w:hAnsi="Times New Roman" w:eastAsia="方正仿宋_GBK" w:cs="Times New Roman"/>
                <w:sz w:val="32"/>
                <w:szCs w:val="32"/>
              </w:rPr>
              <w:t>保证度（%）</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75-85</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1" w:hRule="atLeast"/>
          <w:jc w:val="center"/>
        </w:trPr>
        <w:tc>
          <w:tcPr>
            <w:tcW w:w="61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253"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规划状况</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有利</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较有利</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无影响</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较不利</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4" w:hRule="atLeast"/>
          <w:jc w:val="center"/>
        </w:trPr>
        <w:tc>
          <w:tcPr>
            <w:tcW w:w="616" w:type="dxa"/>
            <w:vMerge w:val="restart"/>
            <w:tcBorders>
              <w:top w:val="single" w:color="000000" w:sz="2" w:space="0"/>
              <w:left w:val="single" w:color="000000" w:sz="2" w:space="0"/>
              <w:bottom w:val="outset" w:color="auto" w:sz="6"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个别因素</w:t>
            </w:r>
          </w:p>
        </w:tc>
        <w:tc>
          <w:tcPr>
            <w:tcW w:w="2253"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江景或绿地资源（m）</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300-600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600-1000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1000-1500</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4" w:hRule="atLeast"/>
          <w:jc w:val="center"/>
        </w:trPr>
        <w:tc>
          <w:tcPr>
            <w:tcW w:w="616" w:type="dxa"/>
            <w:vMerge w:val="continue"/>
            <w:tcBorders>
              <w:top w:val="single" w:color="000000" w:sz="2" w:space="0"/>
              <w:left w:val="single" w:color="000000" w:sz="2" w:space="0"/>
              <w:bottom w:val="outset" w:color="auto" w:sz="6"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253"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距公交站点的距离（m）</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100-300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300-800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800-1500</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8" w:hRule="atLeast"/>
          <w:jc w:val="center"/>
        </w:trPr>
        <w:tc>
          <w:tcPr>
            <w:tcW w:w="616" w:type="dxa"/>
            <w:vMerge w:val="continue"/>
            <w:tcBorders>
              <w:top w:val="single" w:color="000000" w:sz="2" w:space="0"/>
              <w:left w:val="single" w:color="000000" w:sz="2" w:space="0"/>
              <w:bottom w:val="outset" w:color="auto" w:sz="6"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253"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噪声、大气污染</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轻微污染</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较重污染</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严重污染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9" w:hRule="atLeast"/>
          <w:jc w:val="center"/>
        </w:trPr>
        <w:tc>
          <w:tcPr>
            <w:tcW w:w="616" w:type="dxa"/>
            <w:vMerge w:val="continue"/>
            <w:tcBorders>
              <w:top w:val="single" w:color="000000" w:sz="2" w:space="0"/>
              <w:left w:val="single" w:color="000000" w:sz="2" w:space="0"/>
              <w:bottom w:val="outset" w:color="auto" w:sz="6"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253"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宗地坡度</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10°-15°</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15°-25°</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4" w:hRule="atLeast"/>
          <w:jc w:val="center"/>
        </w:trPr>
        <w:tc>
          <w:tcPr>
            <w:tcW w:w="616" w:type="dxa"/>
            <w:vMerge w:val="continue"/>
            <w:tcBorders>
              <w:top w:val="single" w:color="000000" w:sz="2" w:space="0"/>
              <w:left w:val="single" w:color="000000" w:sz="2" w:space="0"/>
              <w:bottom w:val="outset" w:color="auto" w:sz="6"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2253"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地质灾害</w:t>
            </w:r>
          </w:p>
        </w:tc>
        <w:tc>
          <w:tcPr>
            <w:tcW w:w="10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不易发区</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低易发区</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中易发区</w:t>
            </w:r>
          </w:p>
        </w:tc>
        <w:tc>
          <w:tcPr>
            <w:tcW w:w="73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高易发区</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表5-4 办公用地基准地价修正系数表</w:t>
      </w:r>
    </w:p>
    <w:tbl>
      <w:tblPr>
        <w:tblStyle w:val="5"/>
        <w:tblW w:w="88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136"/>
        <w:gridCol w:w="1569"/>
        <w:gridCol w:w="2433"/>
        <w:gridCol w:w="714"/>
        <w:gridCol w:w="708"/>
        <w:gridCol w:w="705"/>
        <w:gridCol w:w="820"/>
        <w:gridCol w:w="7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513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宗地修正因素</w:t>
            </w:r>
          </w:p>
        </w:tc>
        <w:tc>
          <w:tcPr>
            <w:tcW w:w="714"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w:t>
            </w:r>
          </w:p>
        </w:tc>
        <w:tc>
          <w:tcPr>
            <w:tcW w:w="70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较优</w:t>
            </w:r>
          </w:p>
        </w:tc>
        <w:tc>
          <w:tcPr>
            <w:tcW w:w="705"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820"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较差</w:t>
            </w:r>
          </w:p>
        </w:tc>
        <w:tc>
          <w:tcPr>
            <w:tcW w:w="786"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1136"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区域因素</w:t>
            </w:r>
          </w:p>
        </w:tc>
        <w:tc>
          <w:tcPr>
            <w:tcW w:w="1569"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商服繁华度</w:t>
            </w:r>
          </w:p>
        </w:tc>
        <w:tc>
          <w:tcPr>
            <w:tcW w:w="24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距商务中心距离</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69"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商务集聚程度</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69"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交通条件</w:t>
            </w:r>
          </w:p>
        </w:tc>
        <w:tc>
          <w:tcPr>
            <w:tcW w:w="24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临街道路类型</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69"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公交线路数</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69"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距火车站的距离</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69"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距长途汽车站的距离</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69"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距高速公路出口的距离</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69"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基础设施条件</w:t>
            </w:r>
          </w:p>
        </w:tc>
        <w:tc>
          <w:tcPr>
            <w:tcW w:w="24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供水保证度</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69"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供电保证度</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69"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通信</w:t>
            </w:r>
            <w:r>
              <w:rPr>
                <w:rFonts w:hint="default" w:ascii="Times New Roman" w:hAnsi="Times New Roman" w:eastAsia="方正仿宋_GBK" w:cs="Times New Roman"/>
                <w:sz w:val="32"/>
                <w:szCs w:val="32"/>
              </w:rPr>
              <w:t>保证度</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0"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4002"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规划状况</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8" w:hRule="atLeast"/>
          <w:jc w:val="center"/>
        </w:trPr>
        <w:tc>
          <w:tcPr>
            <w:tcW w:w="1136" w:type="dxa"/>
            <w:vMerge w:val="restart"/>
            <w:tcBorders>
              <w:top w:val="outset" w:color="auto" w:sz="6" w:space="0"/>
              <w:left w:val="single" w:color="000000" w:sz="2" w:space="0"/>
              <w:bottom w:val="outset" w:color="auto" w:sz="6"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个别因素</w:t>
            </w:r>
          </w:p>
        </w:tc>
        <w:tc>
          <w:tcPr>
            <w:tcW w:w="4002"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江景或绿地资源</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outset" w:color="auto" w:sz="6"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4002"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距公交站点的距离</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outset" w:color="auto" w:sz="6"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4002"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噪声、大气污染</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0" w:hRule="atLeast"/>
          <w:jc w:val="center"/>
        </w:trPr>
        <w:tc>
          <w:tcPr>
            <w:tcW w:w="1136" w:type="dxa"/>
            <w:vMerge w:val="continue"/>
            <w:tcBorders>
              <w:top w:val="outset" w:color="auto" w:sz="6" w:space="0"/>
              <w:left w:val="single" w:color="000000" w:sz="2" w:space="0"/>
              <w:bottom w:val="outset" w:color="auto" w:sz="6"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4002"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宗地坡度</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jc w:val="center"/>
        </w:trPr>
        <w:tc>
          <w:tcPr>
            <w:tcW w:w="1136" w:type="dxa"/>
            <w:vMerge w:val="continue"/>
            <w:tcBorders>
              <w:top w:val="outset" w:color="auto" w:sz="6" w:space="0"/>
              <w:left w:val="single" w:color="000000" w:sz="2" w:space="0"/>
              <w:bottom w:val="outset" w:color="auto" w:sz="6"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4002"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地质灾害</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jc w:val="center"/>
        </w:trPr>
        <w:tc>
          <w:tcPr>
            <w:tcW w:w="513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调整幅度合计</w:t>
            </w:r>
          </w:p>
        </w:tc>
        <w:tc>
          <w:tcPr>
            <w:tcW w:w="71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28.5</w:t>
            </w:r>
          </w:p>
        </w:tc>
        <w:tc>
          <w:tcPr>
            <w:tcW w:w="70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w:t>
            </w:r>
          </w:p>
        </w:tc>
        <w:tc>
          <w:tcPr>
            <w:tcW w:w="70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2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w:t>
            </w:r>
          </w:p>
        </w:tc>
        <w:tc>
          <w:tcPr>
            <w:tcW w:w="78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-28.5</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表5-5 住宅用地基准地价修正因素指标说明表</w:t>
      </w:r>
    </w:p>
    <w:tbl>
      <w:tblPr>
        <w:tblStyle w:val="5"/>
        <w:tblW w:w="88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03"/>
        <w:gridCol w:w="587"/>
        <w:gridCol w:w="1397"/>
        <w:gridCol w:w="1258"/>
        <w:gridCol w:w="1584"/>
        <w:gridCol w:w="1418"/>
        <w:gridCol w:w="1418"/>
        <w:gridCol w:w="7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2" w:hRule="atLeast"/>
          <w:jc w:val="center"/>
        </w:trPr>
        <w:tc>
          <w:tcPr>
            <w:tcW w:w="2487"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宗地修正因素</w:t>
            </w:r>
          </w:p>
        </w:tc>
        <w:tc>
          <w:tcPr>
            <w:tcW w:w="125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w:t>
            </w:r>
          </w:p>
        </w:tc>
        <w:tc>
          <w:tcPr>
            <w:tcW w:w="1584"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较优</w:t>
            </w:r>
          </w:p>
        </w:tc>
        <w:tc>
          <w:tcPr>
            <w:tcW w:w="141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141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较差</w:t>
            </w:r>
          </w:p>
        </w:tc>
        <w:tc>
          <w:tcPr>
            <w:tcW w:w="710"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5" w:hRule="atLeast"/>
          <w:jc w:val="center"/>
        </w:trPr>
        <w:tc>
          <w:tcPr>
            <w:tcW w:w="503"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区域因素</w:t>
            </w:r>
          </w:p>
        </w:tc>
        <w:tc>
          <w:tcPr>
            <w:tcW w:w="587"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繁华程度</w:t>
            </w: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距商业中心距离（m）</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500-1000</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＜500或1000-1500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1500-2500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2500-4000</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5"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公交线路数（条）</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6"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道路级别（宽度m）</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15-20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9-15</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5-9</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1"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停车场地（m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自备且&gt;1000</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自备，600-1000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自备，&lt;600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附近有停车场</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9"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距长途汽车站的距离（km）</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8-15</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6"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基础设施条件</w:t>
            </w: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供水保证度（%）</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70-85</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5"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供电保证度（%）</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70-85</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5"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天然气保有度（%）</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&gt;96</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70-85</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5"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通信</w:t>
            </w:r>
            <w:r>
              <w:rPr>
                <w:rFonts w:hint="default" w:ascii="Times New Roman" w:hAnsi="Times New Roman" w:eastAsia="方正仿宋_GBK" w:cs="Times New Roman"/>
                <w:sz w:val="32"/>
                <w:szCs w:val="32"/>
              </w:rPr>
              <w:t>保有度（%）</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70-85</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9"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公用设施条件</w:t>
            </w: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与学校、幼儿园的距离（m）</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500-1000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1000-1500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1500-2000</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9"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与超市、农贸市场的距离（m）</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500-1000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1000-2000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2000-3000</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8"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与医院、公园、体育场馆距离（m）</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500-1000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1000-2000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2000-3000</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4"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人口状况</w:t>
            </w: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人口密度（万人/km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1.5-2</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＞2或1.2-1.5</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0.8-1.2</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0.5-0.8</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1"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58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城市规划</w:t>
            </w:r>
          </w:p>
        </w:tc>
        <w:tc>
          <w:tcPr>
            <w:tcW w:w="13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城市规划</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低密度高档住宅区</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教学、科研、机关宿舍区及住宅小区</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普通住宅区</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工矿区配套住宅</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尚未开发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1" w:hRule="atLeast"/>
          <w:jc w:val="center"/>
        </w:trPr>
        <w:tc>
          <w:tcPr>
            <w:tcW w:w="503"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个别因素</w:t>
            </w:r>
          </w:p>
        </w:tc>
        <w:tc>
          <w:tcPr>
            <w:tcW w:w="1984"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江景或绿地资源（m）</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300-600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600-1000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1000-1500</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2"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984"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噪声、大气污染</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轻微污染</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较重污染</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严重污染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2"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984"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宗地坡度</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5°-10°</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10°-15°</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15°-25°</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2" w:hRule="atLeast"/>
          <w:jc w:val="center"/>
        </w:trPr>
        <w:tc>
          <w:tcPr>
            <w:tcW w:w="50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984"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地质灾害</w:t>
            </w:r>
          </w:p>
        </w:tc>
        <w:tc>
          <w:tcPr>
            <w:tcW w:w="125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tc>
        <w:tc>
          <w:tcPr>
            <w:tcW w:w="158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不易发区</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低易发区</w:t>
            </w:r>
          </w:p>
        </w:tc>
        <w:tc>
          <w:tcPr>
            <w:tcW w:w="141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中易发区</w:t>
            </w:r>
          </w:p>
        </w:tc>
        <w:tc>
          <w:tcPr>
            <w:tcW w:w="710"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高易发区</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表5-6 住宅用地基准地价修正系数表</w:t>
      </w:r>
    </w:p>
    <w:tbl>
      <w:tblPr>
        <w:tblStyle w:val="5"/>
        <w:tblW w:w="88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136"/>
        <w:gridCol w:w="1572"/>
        <w:gridCol w:w="2446"/>
        <w:gridCol w:w="703"/>
        <w:gridCol w:w="703"/>
        <w:gridCol w:w="701"/>
        <w:gridCol w:w="813"/>
        <w:gridCol w:w="7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0" w:hRule="atLeast"/>
          <w:jc w:val="center"/>
        </w:trPr>
        <w:tc>
          <w:tcPr>
            <w:tcW w:w="5154"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宗地修正因素</w:t>
            </w:r>
          </w:p>
        </w:tc>
        <w:tc>
          <w:tcPr>
            <w:tcW w:w="703"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w:t>
            </w:r>
          </w:p>
        </w:tc>
        <w:tc>
          <w:tcPr>
            <w:tcW w:w="703"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较优</w:t>
            </w:r>
          </w:p>
        </w:tc>
        <w:tc>
          <w:tcPr>
            <w:tcW w:w="701"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813"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较差</w:t>
            </w:r>
          </w:p>
        </w:tc>
        <w:tc>
          <w:tcPr>
            <w:tcW w:w="797"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3" w:hRule="atLeast"/>
          <w:jc w:val="center"/>
        </w:trPr>
        <w:tc>
          <w:tcPr>
            <w:tcW w:w="1136"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区域因素</w:t>
            </w:r>
          </w:p>
        </w:tc>
        <w:tc>
          <w:tcPr>
            <w:tcW w:w="1572"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繁华程度</w:t>
            </w: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距商业中心距离</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3"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公交线路数</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9"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道路级别</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4"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停车场地</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4"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对外交通便利度</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9"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基础设施条件</w:t>
            </w: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水保有度</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3"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电力保有度</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3"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天然气保有度</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3"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通信</w:t>
            </w:r>
            <w:r>
              <w:rPr>
                <w:rFonts w:hint="default" w:ascii="Times New Roman" w:hAnsi="Times New Roman" w:eastAsia="方正仿宋_GBK" w:cs="Times New Roman"/>
                <w:sz w:val="32"/>
                <w:szCs w:val="32"/>
              </w:rPr>
              <w:t>保有度</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3"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公用设施条件</w:t>
            </w: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学校、幼儿园</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超市、农贸市场</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4"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医院、公园、体育场馆</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9"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人口状况</w:t>
            </w: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人口密度</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8"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572"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城市规划</w:t>
            </w:r>
          </w:p>
        </w:tc>
        <w:tc>
          <w:tcPr>
            <w:tcW w:w="2446"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城市规划</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1136"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个别因素</w:t>
            </w:r>
          </w:p>
        </w:tc>
        <w:tc>
          <w:tcPr>
            <w:tcW w:w="4018"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江景或绿地资源（m）</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4018"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噪声、大气污染</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4018"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宗地坡度</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113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4018"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地质灾害</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154"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调整幅度</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26.5</w:t>
            </w:r>
          </w:p>
        </w:tc>
        <w:tc>
          <w:tcPr>
            <w:tcW w:w="7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13.5</w:t>
            </w:r>
          </w:p>
        </w:tc>
        <w:tc>
          <w:tcPr>
            <w:tcW w:w="70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81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-13.5</w:t>
            </w:r>
          </w:p>
        </w:tc>
        <w:tc>
          <w:tcPr>
            <w:tcW w:w="797"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-26.5</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表5-7 工业用地基准地价修正因素指标说明表</w:t>
      </w:r>
    </w:p>
    <w:tbl>
      <w:tblPr>
        <w:tblStyle w:val="5"/>
        <w:tblW w:w="887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52"/>
        <w:gridCol w:w="656"/>
        <w:gridCol w:w="1345"/>
        <w:gridCol w:w="1228"/>
        <w:gridCol w:w="1391"/>
        <w:gridCol w:w="1468"/>
        <w:gridCol w:w="1273"/>
        <w:gridCol w:w="9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4" w:hRule="atLeast"/>
          <w:jc w:val="center"/>
        </w:trPr>
        <w:tc>
          <w:tcPr>
            <w:tcW w:w="2553"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宗地修正因素</w:t>
            </w:r>
          </w:p>
        </w:tc>
        <w:tc>
          <w:tcPr>
            <w:tcW w:w="122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w:t>
            </w:r>
          </w:p>
        </w:tc>
        <w:tc>
          <w:tcPr>
            <w:tcW w:w="1391"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较优</w:t>
            </w:r>
          </w:p>
        </w:tc>
        <w:tc>
          <w:tcPr>
            <w:tcW w:w="146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1273"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较差</w:t>
            </w:r>
          </w:p>
        </w:tc>
        <w:tc>
          <w:tcPr>
            <w:tcW w:w="959"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9" w:hRule="atLeast"/>
          <w:jc w:val="center"/>
        </w:trPr>
        <w:tc>
          <w:tcPr>
            <w:tcW w:w="552"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区域因素</w:t>
            </w:r>
          </w:p>
        </w:tc>
        <w:tc>
          <w:tcPr>
            <w:tcW w:w="656"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交通条件</w:t>
            </w: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临道路类型</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交通型主干道</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混合型主干道</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生活型主干道或交通型次干道</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生活型次干道</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3" w:hRule="atLeast"/>
          <w:jc w:val="center"/>
        </w:trPr>
        <w:tc>
          <w:tcPr>
            <w:tcW w:w="55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65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区域内部道路级别（宽度m）</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10-20</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5-10</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3" w:hRule="atLeast"/>
          <w:jc w:val="center"/>
        </w:trPr>
        <w:tc>
          <w:tcPr>
            <w:tcW w:w="55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65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距最近货运港口的距离（km）</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自有码头</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5-10</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10-20</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1" w:hRule="atLeast"/>
          <w:jc w:val="center"/>
        </w:trPr>
        <w:tc>
          <w:tcPr>
            <w:tcW w:w="55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65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长途车站距离（km）</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5-10</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10-20</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3" w:hRule="atLeast"/>
          <w:jc w:val="center"/>
        </w:trPr>
        <w:tc>
          <w:tcPr>
            <w:tcW w:w="55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65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距高速公路出入口的距离（km）</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5-10</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10-15</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15-20</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9" w:hRule="atLeast"/>
          <w:jc w:val="center"/>
        </w:trPr>
        <w:tc>
          <w:tcPr>
            <w:tcW w:w="55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656"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基础设施条件</w:t>
            </w: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动力能源保证度（%）</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70-85</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4" w:hRule="atLeast"/>
          <w:jc w:val="center"/>
        </w:trPr>
        <w:tc>
          <w:tcPr>
            <w:tcW w:w="55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65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供水保证度（%）</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75-85</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9" w:hRule="atLeast"/>
          <w:jc w:val="center"/>
        </w:trPr>
        <w:tc>
          <w:tcPr>
            <w:tcW w:w="55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65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排水设施完善度（%）</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排水畅通、常年不漫水</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畅通、年内2-3次漫水</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偶尔阻塞、年内2-3次漫水</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偶尔阻塞、年内5-9次漫水</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常阻塞、常漫水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4" w:hRule="atLeast"/>
          <w:jc w:val="center"/>
        </w:trPr>
        <w:tc>
          <w:tcPr>
            <w:tcW w:w="55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65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通信</w:t>
            </w:r>
            <w:r>
              <w:rPr>
                <w:rFonts w:hint="default" w:ascii="Times New Roman" w:hAnsi="Times New Roman" w:eastAsia="方正仿宋_GBK" w:cs="Times New Roman"/>
                <w:sz w:val="32"/>
                <w:szCs w:val="32"/>
              </w:rPr>
              <w:t>保证度（%）</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90-96</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85-90</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75-85</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6" w:hRule="atLeast"/>
          <w:jc w:val="center"/>
        </w:trPr>
        <w:tc>
          <w:tcPr>
            <w:tcW w:w="55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656"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产业集聚度</w:t>
            </w: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产业集聚类型</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高新技术，联系紧密</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高新技术，产业联系一般；一般产业，联系紧密</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高新技术，联系松散；一般产业，联系一般</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一般产业，联系松散</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独立分布区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4" w:hRule="atLeast"/>
          <w:jc w:val="center"/>
        </w:trPr>
        <w:tc>
          <w:tcPr>
            <w:tcW w:w="55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656"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企业规模（m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＞10万</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3万-10万</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8千-3万</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3千-8千</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jc w:val="center"/>
        </w:trPr>
        <w:tc>
          <w:tcPr>
            <w:tcW w:w="552"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001"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城市规划</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有利</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较有利</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无影响</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较不利</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4" w:hRule="atLeast"/>
          <w:jc w:val="center"/>
        </w:trPr>
        <w:tc>
          <w:tcPr>
            <w:tcW w:w="1208"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个别因素</w:t>
            </w: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宗地坡度</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5°-10°</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10°-15°</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15°-25°</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9" w:hRule="atLeast"/>
          <w:jc w:val="center"/>
        </w:trPr>
        <w:tc>
          <w:tcPr>
            <w:tcW w:w="1208"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地质灾害</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不易发区</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低易发区</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中易发区</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高易发区、极易发区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4" w:hRule="atLeast"/>
          <w:jc w:val="center"/>
        </w:trPr>
        <w:tc>
          <w:tcPr>
            <w:tcW w:w="1208"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34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区域内污染状况</w:t>
            </w:r>
          </w:p>
        </w:tc>
        <w:tc>
          <w:tcPr>
            <w:tcW w:w="122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tc>
        <w:tc>
          <w:tcPr>
            <w:tcW w:w="139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轻微</w:t>
            </w:r>
          </w:p>
        </w:tc>
        <w:tc>
          <w:tcPr>
            <w:tcW w:w="146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127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较重</w:t>
            </w:r>
          </w:p>
        </w:tc>
        <w:tc>
          <w:tcPr>
            <w:tcW w:w="95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严重</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表5-8 工业用地基准地价修正系数表</w:t>
      </w:r>
    </w:p>
    <w:tbl>
      <w:tblPr>
        <w:tblStyle w:val="5"/>
        <w:tblW w:w="88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85"/>
        <w:gridCol w:w="1463"/>
        <w:gridCol w:w="2003"/>
        <w:gridCol w:w="989"/>
        <w:gridCol w:w="833"/>
        <w:gridCol w:w="794"/>
        <w:gridCol w:w="929"/>
        <w:gridCol w:w="7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2" w:hRule="atLeast"/>
          <w:jc w:val="center"/>
        </w:trPr>
        <w:tc>
          <w:tcPr>
            <w:tcW w:w="4551"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宗地修正因素</w:t>
            </w:r>
          </w:p>
        </w:tc>
        <w:tc>
          <w:tcPr>
            <w:tcW w:w="989"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w:t>
            </w:r>
          </w:p>
        </w:tc>
        <w:tc>
          <w:tcPr>
            <w:tcW w:w="833"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较优</w:t>
            </w:r>
          </w:p>
        </w:tc>
        <w:tc>
          <w:tcPr>
            <w:tcW w:w="794"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w:t>
            </w:r>
          </w:p>
        </w:tc>
        <w:tc>
          <w:tcPr>
            <w:tcW w:w="929"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较差</w:t>
            </w:r>
          </w:p>
        </w:tc>
        <w:tc>
          <w:tcPr>
            <w:tcW w:w="775"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1" w:hRule="atLeast"/>
          <w:jc w:val="center"/>
        </w:trPr>
        <w:tc>
          <w:tcPr>
            <w:tcW w:w="1085"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区域因素</w:t>
            </w:r>
          </w:p>
        </w:tc>
        <w:tc>
          <w:tcPr>
            <w:tcW w:w="1463"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交通条件</w:t>
            </w: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临道路类型</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6" w:hRule="atLeast"/>
          <w:jc w:val="center"/>
        </w:trPr>
        <w:tc>
          <w:tcPr>
            <w:tcW w:w="1085"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46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区域内部道路级别</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97" w:hRule="atLeast"/>
          <w:jc w:val="center"/>
        </w:trPr>
        <w:tc>
          <w:tcPr>
            <w:tcW w:w="1085"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46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距最近货运港口的距离</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6" w:hRule="atLeast"/>
          <w:jc w:val="center"/>
        </w:trPr>
        <w:tc>
          <w:tcPr>
            <w:tcW w:w="1085"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46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长途车站距离</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97" w:hRule="atLeast"/>
          <w:jc w:val="center"/>
        </w:trPr>
        <w:tc>
          <w:tcPr>
            <w:tcW w:w="1085"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146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距高速公路出入口的距离</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47" w:hRule="atLeast"/>
          <w:jc w:val="center"/>
        </w:trPr>
        <w:tc>
          <w:tcPr>
            <w:tcW w:w="1085"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63"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基础设施条件</w:t>
            </w: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动力能源保证度</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2" w:hRule="atLeast"/>
          <w:jc w:val="center"/>
        </w:trPr>
        <w:tc>
          <w:tcPr>
            <w:tcW w:w="1085"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6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供水保证度</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6" w:hRule="atLeast"/>
          <w:jc w:val="center"/>
        </w:trPr>
        <w:tc>
          <w:tcPr>
            <w:tcW w:w="1085"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6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排水设施完善度</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1085"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6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通信</w:t>
            </w:r>
            <w:r>
              <w:rPr>
                <w:rFonts w:hint="default" w:ascii="Times New Roman" w:hAnsi="Times New Roman" w:eastAsia="方正仿宋_GBK" w:cs="Times New Roman"/>
                <w:sz w:val="32"/>
                <w:szCs w:val="32"/>
              </w:rPr>
              <w:t>保证度</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95" w:hRule="atLeast"/>
          <w:jc w:val="center"/>
        </w:trPr>
        <w:tc>
          <w:tcPr>
            <w:tcW w:w="1085"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63" w:type="dxa"/>
            <w:vMerge w:val="restart"/>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产业集聚度</w:t>
            </w: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产业集聚类型</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1085"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1463"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企业规模</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1085" w:type="dxa"/>
            <w:vMerge w:val="continue"/>
            <w:tcBorders>
              <w:top w:val="outset" w:color="auto" w:sz="6"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方正仿宋_GBK" w:cs="Times New Roman"/>
                <w:sz w:val="32"/>
                <w:szCs w:val="32"/>
              </w:rPr>
            </w:pPr>
          </w:p>
        </w:tc>
        <w:tc>
          <w:tcPr>
            <w:tcW w:w="3466" w:type="dxa"/>
            <w:gridSpan w:val="2"/>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城市规划</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2548"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个别因素</w:t>
            </w: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宗地坡度</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47" w:hRule="atLeast"/>
          <w:jc w:val="center"/>
        </w:trPr>
        <w:tc>
          <w:tcPr>
            <w:tcW w:w="2548"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地质灾害</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1" w:hRule="atLeast"/>
          <w:jc w:val="center"/>
        </w:trPr>
        <w:tc>
          <w:tcPr>
            <w:tcW w:w="2548"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00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区域内污染状况</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8" w:hRule="atLeast"/>
          <w:jc w:val="center"/>
        </w:trPr>
        <w:tc>
          <w:tcPr>
            <w:tcW w:w="4551"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合计</w:t>
            </w:r>
          </w:p>
        </w:tc>
        <w:tc>
          <w:tcPr>
            <w:tcW w:w="98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29.5</w:t>
            </w:r>
          </w:p>
        </w:tc>
        <w:tc>
          <w:tcPr>
            <w:tcW w:w="833"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15.5</w:t>
            </w:r>
          </w:p>
        </w:tc>
        <w:tc>
          <w:tcPr>
            <w:tcW w:w="794"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92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-15.5</w:t>
            </w:r>
          </w:p>
        </w:tc>
        <w:tc>
          <w:tcPr>
            <w:tcW w:w="775"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-29.5</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附表6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年限修正系数表</w:t>
      </w:r>
    </w:p>
    <w:tbl>
      <w:tblPr>
        <w:tblStyle w:val="5"/>
        <w:tblW w:w="88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98"/>
        <w:gridCol w:w="298"/>
        <w:gridCol w:w="721"/>
        <w:gridCol w:w="899"/>
        <w:gridCol w:w="298"/>
        <w:gridCol w:w="298"/>
        <w:gridCol w:w="721"/>
        <w:gridCol w:w="899"/>
        <w:gridCol w:w="298"/>
        <w:gridCol w:w="298"/>
        <w:gridCol w:w="721"/>
        <w:gridCol w:w="899"/>
        <w:gridCol w:w="298"/>
        <w:gridCol w:w="298"/>
        <w:gridCol w:w="721"/>
        <w:gridCol w:w="8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Header/>
          <w:jc w:val="center"/>
        </w:trPr>
        <w:tc>
          <w:tcPr>
            <w:tcW w:w="2216" w:type="dxa"/>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工业</w:t>
            </w:r>
          </w:p>
        </w:tc>
        <w:tc>
          <w:tcPr>
            <w:tcW w:w="2216" w:type="dxa"/>
            <w:gridSpan w:val="4"/>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住宅</w:t>
            </w:r>
          </w:p>
        </w:tc>
        <w:tc>
          <w:tcPr>
            <w:tcW w:w="2216" w:type="dxa"/>
            <w:gridSpan w:val="4"/>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办公</w:t>
            </w:r>
          </w:p>
        </w:tc>
        <w:tc>
          <w:tcPr>
            <w:tcW w:w="2216" w:type="dxa"/>
            <w:gridSpan w:val="4"/>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商业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Header/>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最高年限</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剩余年限</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还原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利率</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年限修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正系数</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最高年限</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剩余年限</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还原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利率</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年限修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正系数</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最高年限</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剩余年限</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还原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利率</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年限修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正系数</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最高年限</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剩余年限</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还原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利率</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年限修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rPr>
              <w:t>正系数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0.99633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0.9992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0.99522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0.99245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0.99835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0.99009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0.99087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0.98834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0.99745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0.9846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0.98578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0.984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0.99649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0.97871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0.98032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0.9794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0.99546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0.9724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0.97444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0.97454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0.99437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0.96564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0.96812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0.96939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0.9932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0.95839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0.96133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0.96394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0.99196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0.95062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0.95403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0.95818</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0.99064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0.9423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0.94618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0.95208</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0.98924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0.93337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0.93775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0.94563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0.98774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0.92381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0.92868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0.9388</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0.98614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0.91355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0.91893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0.93158</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0.98445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0.90256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0.90845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0.92394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0.98264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0.89079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0.89718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0.91585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0.98071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0.87816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0.88507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0.90729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0.97866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0.86463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0.87205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0.89824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0.97647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0.85013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0.85805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0.88866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0.97414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0.83459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0.84301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0.87852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0.97166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0.81793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0.82683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0.86779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0.96902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0.80008</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0.80945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0.85645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0.9662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0.78094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0.79075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0.84444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0.96321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0.76043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0.77066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0.83173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0.96001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0.73845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0.74906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0.81829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0.95661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0.71489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0.72584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0.80406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0.95299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0.68964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0.70088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0.78901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0.94913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0.66257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0.67404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0.77308</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0.94502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0.63356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0.64519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0.75623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0.94065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0.60247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0.61418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0.7384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0.93599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0.56915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0.58085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0.71953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0.93102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0.53343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0.54501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0.69957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0.92574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0.49515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0.50649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0.67845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0.9201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0.45412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0.46507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w:t>
            </w:r>
          </w:p>
        </w:tc>
        <w:tc>
          <w:tcPr>
            <w:tcW w:w="721"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0.6561</w:t>
            </w:r>
          </w:p>
        </w:tc>
        <w:tc>
          <w:tcPr>
            <w:tcW w:w="29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37</w:t>
            </w:r>
          </w:p>
        </w:tc>
        <w:tc>
          <w:tcPr>
            <w:tcW w:w="721"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0.91411</w:t>
            </w:r>
          </w:p>
        </w:tc>
        <w:tc>
          <w:tcPr>
            <w:tcW w:w="29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p>
        </w:tc>
        <w:tc>
          <w:tcPr>
            <w:tcW w:w="721"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0.41014</w:t>
            </w:r>
          </w:p>
        </w:tc>
        <w:tc>
          <w:tcPr>
            <w:tcW w:w="29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p>
        </w:tc>
        <w:tc>
          <w:tcPr>
            <w:tcW w:w="721"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single" w:color="000000" w:sz="2"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0.42055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0.63245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0.90772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0.36301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0.37269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0.60742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0.90091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0.31249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0.32124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0.58095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0.89366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0.25835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0.26594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0.55293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0.88595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0.20032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0.20648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0.52329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0.87772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0.13812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0.14257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0.49193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0.86897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7.18%</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0.07145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7.50%</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0.07386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0.45874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0.85964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0.42362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0.8497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0.38647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0.83912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0.34715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0.82785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0.30555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0.81585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0.26154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0.80306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0.21497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0.78944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0.16569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0.77494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0.11355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0.75949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5.81%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0.05838</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0.74304</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0.72551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0.70685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0.68696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0.66579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0.64323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0.61921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0.59362</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0.56637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0.53735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0.50643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0.4735</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0.43843</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0.40107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0.36129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0.31891</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0.27377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0.2257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0.17449</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0.11996</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298" w:type="dxa"/>
            <w:tcBorders>
              <w:top w:val="outset" w:color="auto" w:sz="6" w:space="0"/>
              <w:left w:val="single" w:color="000000" w:sz="2"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70</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6.51%</w:t>
            </w: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0.06187</w:t>
            </w: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298"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721"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c>
          <w:tcPr>
            <w:tcW w:w="899" w:type="dxa"/>
            <w:tcBorders>
              <w:top w:val="outset" w:color="auto" w:sz="6" w:space="0"/>
              <w:left w:val="outset" w:color="auto" w:sz="6" w:space="0"/>
              <w:bottom w:val="single" w:color="000000" w:sz="2" w:space="0"/>
              <w:right w:val="single" w:color="000000" w:sz="2"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default" w:ascii="Times New Roman" w:hAnsi="Times New Roman" w:eastAsia="方正仿宋_GBK" w:cs="Times New Roman"/>
                <w:sz w:val="32"/>
                <w:szCs w:val="32"/>
              </w:rPr>
            </w:pP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spacing w:before="0" w:beforeLines="100" w:line="240" w:lineRule="auto"/>
      <w:ind w:left="1065" w:leftChars="507" w:right="0" w:rightChars="0" w:firstLine="10115" w:firstLineChars="3161"/>
      <w:jc w:val="right"/>
      <w:textAlignment w:val="auto"/>
      <w:outlineLvl w:val="9"/>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312420</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24.6pt;height:0.15pt;width:442.25pt;z-index:251660288;mso-width-relative:page;mso-height-relative:page;" filled="f" stroked="t" coordsize="21600,21600" o:gfxdata="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jKOytQA&#10;AAAHAQAADwAAAAAAAAABACAAAAAiAAAAZHJzL2Rvd25yZXYueG1sUEsBAhQAFAAAAAgAh07iQElI&#10;j5/qAQAAtQMAAA4AAAAAAAAAAQAgAAAAIw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ascii="宋体" w:hAnsi="宋体" w:eastAsia="宋体" w:cs="宋体"/>
        <w:b/>
        <w:bCs/>
        <w:color w:val="005192"/>
        <w:sz w:val="28"/>
        <w:szCs w:val="44"/>
        <w:lang w:eastAsia="zh-Hans"/>
      </w:rPr>
      <w:t>X</w:t>
    </w:r>
    <w:r>
      <w:rPr>
        <w:rFonts w:hint="eastAsia" w:ascii="宋体" w:hAnsi="宋体" w:eastAsia="宋体" w:cs="宋体"/>
        <w:b/>
        <w:bCs/>
        <w:color w:val="005192"/>
        <w:sz w:val="28"/>
        <w:szCs w:val="44"/>
        <w:lang w:val="en-US" w:eastAsia="zh-CN"/>
      </w:rPr>
      <w:t xml:space="preserve">忠县人民政府办公室发布     </w:t>
    </w:r>
  </w:p>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407035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2.05pt;height:0pt;width:442.55pt;z-index:251659264;mso-width-relative:page;mso-height-relative:page;" filled="f" stroked="t" coordsize="21600,21600" o:gfxdata="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O4Uy60wAAAAYB&#10;AAAPAAAAAAAAAAEAIAAAACIAAABkcnMvZG93bnJldi54bWxQSwECFAAUAAAACACHTuJAsNGj1ucB&#10;AACy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6A91A"/>
    <w:multiLevelType w:val="singleLevel"/>
    <w:tmpl w:val="62A6A91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NDE3ZTAyMDM0NmQyZDQ4YmRjY2QyYTJiNmM3OTcifQ=="/>
  </w:docVars>
  <w:rsids>
    <w:rsidRoot w:val="3C7E06D4"/>
    <w:rsid w:val="008C6806"/>
    <w:rsid w:val="01A25350"/>
    <w:rsid w:val="0458580D"/>
    <w:rsid w:val="04C95475"/>
    <w:rsid w:val="05463FF7"/>
    <w:rsid w:val="068613CB"/>
    <w:rsid w:val="0AF8167A"/>
    <w:rsid w:val="13E02A48"/>
    <w:rsid w:val="181D658B"/>
    <w:rsid w:val="1B776F9B"/>
    <w:rsid w:val="23690B9F"/>
    <w:rsid w:val="273C10F7"/>
    <w:rsid w:val="29084892"/>
    <w:rsid w:val="2F6B78FD"/>
    <w:rsid w:val="2FE74BB3"/>
    <w:rsid w:val="3C7E06D4"/>
    <w:rsid w:val="3E7E3B5E"/>
    <w:rsid w:val="3F0E156E"/>
    <w:rsid w:val="3F2930B5"/>
    <w:rsid w:val="529A0C7B"/>
    <w:rsid w:val="58FF531D"/>
    <w:rsid w:val="5AE83128"/>
    <w:rsid w:val="5F5924E9"/>
    <w:rsid w:val="5F7E4C03"/>
    <w:rsid w:val="62A32BBC"/>
    <w:rsid w:val="64A875BA"/>
    <w:rsid w:val="69512EC4"/>
    <w:rsid w:val="6D0B5C13"/>
    <w:rsid w:val="772C5091"/>
    <w:rsid w:val="7A480094"/>
    <w:rsid w:val="7CC26EE7"/>
    <w:rsid w:val="7D181A6A"/>
    <w:rsid w:val="7DA33497"/>
    <w:rsid w:val="7EF007D2"/>
    <w:rsid w:val="7F651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Pages>
  <Words>0</Words>
  <Characters>0</Characters>
  <Lines>0</Lines>
  <Paragraphs>0</Paragraphs>
  <TotalTime>23</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2022-06-09T06:30:00Z</dcterms:created>
  <dc:creator>Administrator</dc:creator>
  <cp:lastModifiedBy>高丹</cp:lastModifiedBy>
  <dcterms:modified xsi:type="dcterms:W3CDTF">2025-10-11T01:58:25Z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F837048B7F7849F5B241FE23C6466422</vt:lpwstr>
  </property>
</Properties>
</file>