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仿宋_GBK"/>
          <w:sz w:val="32"/>
          <w:szCs w:val="32"/>
        </w:rPr>
      </w:pPr>
      <w:bookmarkStart w:id="0" w:name="_GoBack"/>
      <w:bookmarkEnd w:id="0"/>
    </w:p>
    <w:p>
      <w:pPr>
        <w:spacing w:line="560" w:lineRule="exact"/>
        <w:jc w:val="center"/>
        <w:rPr>
          <w:rFonts w:eastAsia="方正仿宋_GBK"/>
          <w:sz w:val="32"/>
          <w:szCs w:val="32"/>
        </w:rPr>
      </w:pPr>
    </w:p>
    <w:p>
      <w:pPr>
        <w:spacing w:line="560" w:lineRule="exact"/>
        <w:jc w:val="center"/>
        <w:rPr>
          <w:rFonts w:eastAsia="方正仿宋_GBK"/>
          <w:sz w:val="32"/>
          <w:szCs w:val="32"/>
        </w:rPr>
      </w:pPr>
    </w:p>
    <w:p>
      <w:pPr>
        <w:spacing w:line="560" w:lineRule="exact"/>
        <w:jc w:val="both"/>
        <w:rPr>
          <w:rFonts w:hint="eastAsia" w:eastAsia="方正仿宋_GBK"/>
          <w:sz w:val="32"/>
          <w:szCs w:val="32"/>
          <w:lang w:eastAsia="zh-CN"/>
        </w:rPr>
      </w:pPr>
    </w:p>
    <w:p>
      <w:pPr>
        <w:spacing w:line="560" w:lineRule="exact"/>
        <w:jc w:val="center"/>
        <w:rPr>
          <w:rFonts w:eastAsia="方正仿宋_GBK"/>
          <w:sz w:val="32"/>
          <w:szCs w:val="32"/>
        </w:rPr>
      </w:pPr>
    </w:p>
    <w:p>
      <w:pPr>
        <w:spacing w:line="640" w:lineRule="exact"/>
        <w:jc w:val="center"/>
        <w:rPr>
          <w:rFonts w:eastAsia="方正小标宋_GBK"/>
          <w:sz w:val="44"/>
          <w:szCs w:val="44"/>
        </w:rPr>
      </w:pPr>
      <w:r>
        <w:rPr>
          <w:rFonts w:eastAsia="方正小标宋_GBK"/>
          <w:sz w:val="44"/>
          <w:szCs w:val="44"/>
        </w:rPr>
        <w:t>忠</w:t>
      </w:r>
      <w:r>
        <w:rPr>
          <w:rFonts w:hint="eastAsia" w:eastAsia="方正小标宋_GBK"/>
          <w:sz w:val="44"/>
          <w:szCs w:val="44"/>
        </w:rPr>
        <w:t xml:space="preserve"> </w:t>
      </w:r>
      <w:r>
        <w:rPr>
          <w:rFonts w:eastAsia="方正小标宋_GBK"/>
          <w:sz w:val="44"/>
          <w:szCs w:val="44"/>
        </w:rPr>
        <w:t>县</w:t>
      </w:r>
      <w:r>
        <w:rPr>
          <w:rFonts w:hint="eastAsia" w:eastAsia="方正小标宋_GBK"/>
          <w:sz w:val="44"/>
          <w:szCs w:val="44"/>
        </w:rPr>
        <w:t xml:space="preserve"> 人 民 政 府</w:t>
      </w:r>
    </w:p>
    <w:p>
      <w:pPr>
        <w:spacing w:line="640" w:lineRule="exact"/>
        <w:jc w:val="center"/>
        <w:rPr>
          <w:rFonts w:eastAsia="方正小标宋_GBK"/>
          <w:sz w:val="44"/>
          <w:szCs w:val="44"/>
        </w:rPr>
      </w:pPr>
      <w:r>
        <w:rPr>
          <w:rFonts w:hint="eastAsia" w:eastAsia="方正小标宋_GBK"/>
          <w:sz w:val="44"/>
          <w:szCs w:val="44"/>
        </w:rPr>
        <w:t>关于印发忠县2021</w:t>
      </w:r>
      <w:r>
        <w:rPr>
          <w:rFonts w:eastAsia="方正小标宋_GBK"/>
          <w:sz w:val="44"/>
          <w:szCs w:val="44"/>
        </w:rPr>
        <w:t>年国民经济和</w:t>
      </w:r>
    </w:p>
    <w:p>
      <w:pPr>
        <w:spacing w:line="640" w:lineRule="exact"/>
        <w:jc w:val="center"/>
        <w:rPr>
          <w:rFonts w:hint="eastAsia" w:eastAsia="方正小标宋_GBK"/>
          <w:sz w:val="44"/>
          <w:szCs w:val="44"/>
        </w:rPr>
      </w:pPr>
      <w:r>
        <w:rPr>
          <w:rFonts w:eastAsia="方正小标宋_GBK"/>
          <w:sz w:val="44"/>
          <w:szCs w:val="44"/>
        </w:rPr>
        <w:t>社会发展计划</w:t>
      </w:r>
      <w:r>
        <w:rPr>
          <w:rFonts w:hint="eastAsia" w:eastAsia="方正小标宋_GBK"/>
          <w:sz w:val="44"/>
          <w:szCs w:val="44"/>
        </w:rPr>
        <w:t>的通知</w:t>
      </w:r>
    </w:p>
    <w:p>
      <w:pPr>
        <w:spacing w:line="640" w:lineRule="exact"/>
        <w:jc w:val="center"/>
        <w:rPr>
          <w:rFonts w:hint="eastAsia" w:eastAsia="方正小标宋_GBK"/>
          <w:sz w:val="44"/>
          <w:szCs w:val="44"/>
        </w:rPr>
      </w:pPr>
    </w:p>
    <w:p>
      <w:pPr>
        <w:spacing w:line="560" w:lineRule="exact"/>
        <w:jc w:val="center"/>
        <w:rPr>
          <w:rFonts w:eastAsia="方正仿宋_GBK"/>
          <w:sz w:val="32"/>
          <w:szCs w:val="32"/>
        </w:rPr>
      </w:pPr>
      <w:r>
        <w:rPr>
          <w:rFonts w:eastAsia="方正仿宋_GBK"/>
          <w:sz w:val="32"/>
          <w:szCs w:val="32"/>
        </w:rPr>
        <w:t>忠府发〔</w:t>
      </w:r>
      <w:r>
        <w:rPr>
          <w:rFonts w:hint="eastAsia" w:eastAsia="方正仿宋_GBK"/>
          <w:sz w:val="32"/>
          <w:szCs w:val="32"/>
        </w:rPr>
        <w:t>2021</w:t>
      </w:r>
      <w:r>
        <w:rPr>
          <w:rFonts w:eastAsia="方正仿宋_GBK"/>
          <w:sz w:val="32"/>
          <w:szCs w:val="32"/>
        </w:rPr>
        <w:t>〕</w:t>
      </w:r>
      <w:r>
        <w:rPr>
          <w:rFonts w:hint="eastAsia" w:eastAsia="方正仿宋_GBK"/>
          <w:sz w:val="32"/>
          <w:szCs w:val="32"/>
        </w:rPr>
        <w:t>4</w:t>
      </w:r>
      <w:r>
        <w:rPr>
          <w:rFonts w:eastAsia="方正仿宋_GBK"/>
          <w:sz w:val="32"/>
          <w:szCs w:val="32"/>
        </w:rPr>
        <w:t>号</w:t>
      </w:r>
    </w:p>
    <w:p>
      <w:pPr>
        <w:spacing w:line="560" w:lineRule="exact"/>
        <w:rPr>
          <w:rFonts w:eastAsia="方正仿宋_GBK"/>
          <w:sz w:val="32"/>
          <w:szCs w:val="32"/>
        </w:rPr>
      </w:pPr>
    </w:p>
    <w:p>
      <w:pPr>
        <w:spacing w:line="560" w:lineRule="exact"/>
        <w:rPr>
          <w:rFonts w:eastAsia="方正仿宋_GBK"/>
          <w:sz w:val="32"/>
          <w:szCs w:val="32"/>
        </w:rPr>
      </w:pPr>
      <w:r>
        <w:rPr>
          <w:rFonts w:hint="eastAsia" w:eastAsia="方正仿宋_GBK"/>
          <w:sz w:val="32"/>
          <w:szCs w:val="32"/>
        </w:rPr>
        <w:t>各乡镇人民政府，各街道办事处，县政府各部门：</w:t>
      </w:r>
    </w:p>
    <w:p>
      <w:pPr>
        <w:spacing w:line="560" w:lineRule="exact"/>
        <w:ind w:firstLine="640" w:firstLineChars="200"/>
        <w:rPr>
          <w:rFonts w:eastAsia="方正仿宋_GBK"/>
          <w:sz w:val="32"/>
          <w:szCs w:val="32"/>
        </w:rPr>
      </w:pPr>
      <w:r>
        <w:rPr>
          <w:rFonts w:eastAsia="方正仿宋_GBK"/>
          <w:sz w:val="32"/>
          <w:szCs w:val="32"/>
        </w:rPr>
        <w:t>《忠县20</w:t>
      </w:r>
      <w:r>
        <w:rPr>
          <w:rFonts w:hint="eastAsia" w:eastAsia="方正仿宋_GBK"/>
          <w:sz w:val="32"/>
          <w:szCs w:val="32"/>
        </w:rPr>
        <w:t>21</w:t>
      </w:r>
      <w:r>
        <w:rPr>
          <w:rFonts w:eastAsia="方正仿宋_GBK"/>
          <w:sz w:val="32"/>
          <w:szCs w:val="32"/>
        </w:rPr>
        <w:t>年国民经济和社会发展计划》</w:t>
      </w:r>
      <w:r>
        <w:rPr>
          <w:rFonts w:hint="eastAsia" w:eastAsia="方正仿宋_GBK"/>
          <w:sz w:val="32"/>
          <w:szCs w:val="32"/>
        </w:rPr>
        <w:t>已经忠县第十七届人民代表大会第五次会议审议通过，现印发给你们，请遵照执行。</w:t>
      </w:r>
    </w:p>
    <w:p>
      <w:pPr>
        <w:spacing w:line="640" w:lineRule="exact"/>
        <w:rPr>
          <w:rFonts w:eastAsia="方正仿宋_GBK"/>
          <w:sz w:val="32"/>
          <w:szCs w:val="32"/>
        </w:rPr>
      </w:pPr>
    </w:p>
    <w:p>
      <w:pPr>
        <w:spacing w:line="640" w:lineRule="exact"/>
        <w:rPr>
          <w:rFonts w:eastAsia="方正仿宋_GBK"/>
          <w:sz w:val="32"/>
          <w:szCs w:val="32"/>
        </w:rPr>
      </w:pPr>
    </w:p>
    <w:p>
      <w:pPr>
        <w:spacing w:line="560" w:lineRule="exact"/>
        <w:ind w:firstLine="1520" w:firstLineChars="475"/>
        <w:jc w:val="left"/>
        <w:rPr>
          <w:rFonts w:eastAsia="方正仿宋_GBK"/>
          <w:sz w:val="32"/>
          <w:szCs w:val="32"/>
        </w:rPr>
      </w:pPr>
      <w:r>
        <w:rPr>
          <w:rFonts w:hint="eastAsia" w:eastAsia="方正仿宋_GBK"/>
          <w:sz w:val="32"/>
          <w:szCs w:val="32"/>
        </w:rPr>
        <w:t xml:space="preserve">                        忠县人民政府</w:t>
      </w:r>
    </w:p>
    <w:p>
      <w:pPr>
        <w:spacing w:line="560" w:lineRule="exact"/>
        <w:jc w:val="center"/>
        <w:rPr>
          <w:rFonts w:eastAsia="方正仿宋_GBK"/>
          <w:sz w:val="32"/>
          <w:szCs w:val="32"/>
        </w:rPr>
      </w:pPr>
      <w:r>
        <w:rPr>
          <w:rFonts w:hint="eastAsia" w:eastAsia="方正仿宋_GBK"/>
          <w:sz w:val="32"/>
          <w:szCs w:val="32"/>
        </w:rPr>
        <w:t xml:space="preserve">                 </w:t>
      </w:r>
      <w:r>
        <w:rPr>
          <w:rFonts w:eastAsia="方正仿宋_GBK"/>
          <w:sz w:val="32"/>
          <w:szCs w:val="32"/>
        </w:rPr>
        <w:t xml:space="preserve">        20</w:t>
      </w:r>
      <w:r>
        <w:rPr>
          <w:rFonts w:hint="eastAsia" w:eastAsia="方正仿宋_GBK"/>
          <w:sz w:val="32"/>
          <w:szCs w:val="32"/>
        </w:rPr>
        <w:t>21</w:t>
      </w:r>
      <w:r>
        <w:rPr>
          <w:rFonts w:eastAsia="方正仿宋_GBK"/>
          <w:sz w:val="32"/>
          <w:szCs w:val="32"/>
        </w:rPr>
        <w:t>年</w:t>
      </w:r>
      <w:r>
        <w:rPr>
          <w:rFonts w:hint="eastAsia" w:eastAsia="方正仿宋_GBK"/>
          <w:sz w:val="32"/>
          <w:szCs w:val="32"/>
        </w:rPr>
        <w:t>3</w:t>
      </w:r>
      <w:r>
        <w:rPr>
          <w:rFonts w:eastAsia="方正仿宋_GBK"/>
          <w:sz w:val="32"/>
          <w:szCs w:val="32"/>
        </w:rPr>
        <w:t>月</w:t>
      </w:r>
      <w:r>
        <w:rPr>
          <w:rFonts w:hint="eastAsia" w:eastAsia="方正仿宋_GBK"/>
          <w:sz w:val="32"/>
          <w:szCs w:val="32"/>
        </w:rPr>
        <w:t>9</w:t>
      </w:r>
      <w:r>
        <w:rPr>
          <w:rFonts w:eastAsia="方正仿宋_GBK"/>
          <w:sz w:val="32"/>
          <w:szCs w:val="32"/>
        </w:rPr>
        <w:t>日</w:t>
      </w: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eastAsia="方正小标宋_GBK"/>
          <w:sz w:val="44"/>
          <w:szCs w:val="44"/>
        </w:rPr>
      </w:pPr>
      <w:r>
        <w:rPr>
          <w:rFonts w:hint="eastAsia" w:eastAsia="方正小标宋_GBK"/>
          <w:sz w:val="44"/>
          <w:szCs w:val="44"/>
        </w:rPr>
        <w:t>忠县</w:t>
      </w:r>
      <w:r>
        <w:rPr>
          <w:rFonts w:eastAsia="方正小标宋_GBK"/>
          <w:sz w:val="44"/>
          <w:szCs w:val="44"/>
        </w:rPr>
        <w:t>20</w:t>
      </w:r>
      <w:r>
        <w:rPr>
          <w:rFonts w:hint="eastAsia" w:eastAsia="方正小标宋_GBK"/>
          <w:sz w:val="44"/>
          <w:szCs w:val="44"/>
        </w:rPr>
        <w:t>21</w:t>
      </w:r>
      <w:r>
        <w:rPr>
          <w:rFonts w:eastAsia="方正小标宋_GBK"/>
          <w:sz w:val="44"/>
          <w:szCs w:val="44"/>
        </w:rPr>
        <w:t>年国民经济和社会发展计划</w:t>
      </w:r>
    </w:p>
    <w:p>
      <w:pPr>
        <w:spacing w:line="560" w:lineRule="exact"/>
        <w:ind w:firstLine="640" w:firstLineChars="200"/>
        <w:rPr>
          <w:rFonts w:eastAsia="方正黑体_GBK"/>
          <w:sz w:val="32"/>
          <w:szCs w:val="32"/>
        </w:rPr>
      </w:pPr>
    </w:p>
    <w:p>
      <w:pPr>
        <w:spacing w:line="560" w:lineRule="exact"/>
        <w:ind w:firstLine="640" w:firstLineChars="200"/>
        <w:rPr>
          <w:rFonts w:eastAsia="方正黑体_GBK"/>
          <w:sz w:val="32"/>
          <w:szCs w:val="32"/>
        </w:rPr>
      </w:pPr>
      <w:r>
        <w:rPr>
          <w:rFonts w:eastAsia="方正黑体_GBK"/>
          <w:sz w:val="32"/>
          <w:szCs w:val="32"/>
        </w:rPr>
        <w:t>一、20</w:t>
      </w:r>
      <w:r>
        <w:rPr>
          <w:rFonts w:hint="eastAsia" w:eastAsia="方正黑体_GBK"/>
          <w:sz w:val="32"/>
          <w:szCs w:val="32"/>
        </w:rPr>
        <w:t>20</w:t>
      </w:r>
      <w:r>
        <w:rPr>
          <w:rFonts w:eastAsia="方正黑体_GBK"/>
          <w:sz w:val="32"/>
          <w:szCs w:val="32"/>
        </w:rPr>
        <w:t>年国民经济和社会发展计划执行情况</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2020年，全县上下深入贯彻落实习近平总书记对重庆提出的营造良好政治生态，坚持“两点”定位、“两地”“两高”目标，发挥“三个作用”和推动成渝地区双城经济圈建设等重要指示要求，紧扣全面建成小康社会目标，坚持稳中求进工作总基调，坚定“双特”发展思路，坚决打赢三大攻坚战，深入实施“十项行动方案”，统筹抓好疫情防控和经济社会发展工作，较好完成2020年国民经济和社会发展计划。</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2020年，全县GDP实现427.65亿元、增长4.1%，增速位居渝东北第1位，三次产业结构比优化为13:44.4:42.6。</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一年来重点抓了以下工作：</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（一）三大攻坚战取得显著成绩，全面建成小康社会即将实现。</w:t>
      </w:r>
      <w:r>
        <w:rPr>
          <w:rStyle w:val="10"/>
          <w:rFonts w:hint="eastAsia" w:eastAsia="方正仿宋_GBK"/>
          <w:b w:val="0"/>
          <w:sz w:val="32"/>
          <w:szCs w:val="32"/>
        </w:rPr>
        <w:t>一是坚决打好脱贫攻坚战。统筹战疫战贫，全面解决“两不愁三保障”突出问题，消除农村集体经济“空壳村”，302名未脱贫人口实现清零，销售扶贫产品约1.7亿元。深入开展“百日大会战”、“收官大决战”，完成469个问题整改，“十三五”时期易地扶贫搬迁任务圆满收官。二是坚决打好防范化解重大风险攻坚战。严控政府隐性债务风险，争取政府债券16.5亿元。加强金融监管，严厉打击非法金融活动，全县不良贷款风险有效管控。积极防范房地产领域风险，全县房地产市场健康发展。三是坚决打好污染防治攻坚战。加大国土绿化力度，完成营造林24.1万亩，全县森林覆盖率达52%。强化环境综合治理，长江干流及主要支流水质均达到Ⅱ类水质标准，</w:t>
      </w:r>
      <w:r>
        <w:rPr>
          <w:rFonts w:hint="eastAsia" w:eastAsia="方正仿宋_GBK"/>
          <w:bCs/>
          <w:sz w:val="32"/>
          <w:szCs w:val="32"/>
        </w:rPr>
        <w:t>PM</w:t>
      </w:r>
      <w:r>
        <w:rPr>
          <w:rFonts w:hint="eastAsia" w:eastAsia="方正仿宋_GBK"/>
          <w:bCs/>
          <w:sz w:val="32"/>
          <w:szCs w:val="32"/>
          <w:vertAlign w:val="subscript"/>
        </w:rPr>
        <w:t>2.5</w:t>
      </w:r>
      <w:r>
        <w:rPr>
          <w:rStyle w:val="10"/>
          <w:rFonts w:hint="eastAsia" w:eastAsia="方正仿宋_GBK"/>
          <w:b w:val="0"/>
          <w:sz w:val="32"/>
          <w:szCs w:val="32"/>
        </w:rPr>
        <w:t>浓度持续下降，全年空气质量优良天数达357天，畜禽粪污资源化利用率达95.6%，声环境质量全面达标。</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（二）工业、投资加速恢复，经济“基本盘”持续稳健。</w:t>
      </w:r>
      <w:r>
        <w:rPr>
          <w:rStyle w:val="10"/>
          <w:rFonts w:hint="eastAsia" w:eastAsia="方正仿宋_GBK"/>
          <w:b w:val="0"/>
          <w:sz w:val="32"/>
          <w:szCs w:val="32"/>
        </w:rPr>
        <w:t>一方面，工业经济提速回升。海螺水泥、天地药业等骨干企业产销两旺，获批重庆市化学原料药产业园（建设）和农副食品加工产业园（建设）基地，10万吨锂电正极材料一期、高端装备制造产业园一期等52个项目建成投产，新培育鑫锐诚、忠胜汇显等规上企业18家。全县实现工业增加值100.81亿元、增长4.3%，拉动经济增长1.1个百分点。另一方面，投资支撑作用强劲。大力推进两个重点项目“百日攻坚”行动，新到位上级项目资金23.4亿元、土地3406亩，18个市级重大项目完成投资50.66亿元、超年度目标10.25个百分点，新生港等255个重点项目完成投资128.77亿元，为历年同期完成投资最多、实现进度最快、化解问题最好的一年，带动全县固定资产投资完成205.15亿元、增长3.5%。</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（三）产业发展提档升级，经济实力迈上新台阶。</w:t>
      </w:r>
      <w:r>
        <w:rPr>
          <w:rStyle w:val="10"/>
          <w:rFonts w:hint="eastAsia" w:eastAsia="方正仿宋_GBK"/>
          <w:b w:val="0"/>
          <w:sz w:val="32"/>
          <w:szCs w:val="32"/>
        </w:rPr>
        <w:t>一是现代商贸提质扩容。1.18平方公里的忠州商圈初具雏形，忠州购物公园开业营运，五洲国际商贸城一期试营业。粮食仓储物流园、再生资源交易中心建成投用。大力实施消费提升行动，开展“春暖花开·美好生活”等消费活动，全县社会消费品零售总额192.18亿元、增长3.9%。二是全域旅游持续壮大。三峡橘乡·田园综合体开园迎客，白公祠文博景区成功创建国家4A级旅游景区，《烽烟三国》对外知名度进一步提升。成功举办2020长江三峡马拉松、CF冠军杯总决赛等赛事节会，“双晒”活动如火如荼、吸引2000余万人次观看。全县接待游客1006万人次，实现旅游综合收入51.4亿元。三是农业现代化加快推进。现代山地特色高效农业规模达85.11万亩，新增高标准农田6.02万亩，粮经结构比持续优化。粮油生产稳定，生猪供需平衡。新增绿色食品38个，新发展农民合作社26家、家庭农场125个，建成“一村一品”示范村76个，特色产业村覆盖率达86%。全县实现农业增加值55.8亿元、增长5.1%。</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（四）改革开放创新进一步深化，经济发展动能不断增强。</w:t>
      </w:r>
      <w:r>
        <w:rPr>
          <w:rStyle w:val="10"/>
          <w:rFonts w:hint="eastAsia" w:eastAsia="方正仿宋_GBK"/>
          <w:b w:val="0"/>
          <w:sz w:val="32"/>
          <w:szCs w:val="32"/>
        </w:rPr>
        <w:t>一是全面深化改革扎实推进。供给侧结构性改革稳步推进，僵尸企业、空壳公司处置率名列全市前茅。加快打造市场化、法治化、国际化营商环境，城市综合信用指数位列全市前列，民营经济发展环境不断优化，全县新增市场主体10428户，新增“四上”企业93家。财税、金融、国资国企等领域改革序时推进。二是开放水平大幅提升。全面融入成渝地区双城经济圈建设和“一区两群”协调发展，“三峡库心</w:t>
      </w:r>
      <w:r>
        <w:rPr>
          <w:rStyle w:val="10"/>
          <w:rFonts w:hint="eastAsia" w:eastAsia="方正仿宋_GBK" w:cs="方正仿宋_GBK"/>
          <w:b w:val="0"/>
          <w:sz w:val="32"/>
          <w:szCs w:val="32"/>
        </w:rPr>
        <w:t>·</w:t>
      </w:r>
      <w:r>
        <w:rPr>
          <w:rStyle w:val="10"/>
          <w:rFonts w:hint="eastAsia" w:eastAsia="方正仿宋_GBK"/>
          <w:b w:val="0"/>
          <w:sz w:val="32"/>
          <w:szCs w:val="32"/>
        </w:rPr>
        <w:t>长江盆景”提速打造。渝万高铁开工建设，广垫忠黔铁路等项目前期提速推进。忠信大道加快推进，工业园区建成面积10平方公里、累计入驻企业100家。强化招商引资，新引进招商项目162个，协议引资246亿元，实际到位资金78.6亿元。25吨“忠橙”代表重庆首次出口新加坡，全县实现进出口贸易500万美元。三是创新驱动成效明显。发放知识价值信用贷款1.38亿元，新增科技型企业62家、高新技术企业6家，全社会R&amp;D投入2亿元。获评全国农村创新创业典型县和电子商务进农村综合示范县，实现农产品网络零售额4.8亿元。“柑橘网”交易额突破30亿元，总部经济结算额突破400亿元。</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（五）财税金融企业居民收入稳步向好，发展质量效益提升。</w:t>
      </w:r>
      <w:r>
        <w:rPr>
          <w:rStyle w:val="10"/>
          <w:rFonts w:hint="eastAsia" w:eastAsia="方正仿宋_GBK"/>
          <w:b w:val="0"/>
          <w:sz w:val="32"/>
          <w:szCs w:val="32"/>
        </w:rPr>
        <w:t>一是财政收入稳步增长。完成一般公共预算收入19.23亿元、增长3%，其中税收收入12.94亿元、占比67.3%，收入结构不断优化。兜住“三保”底线，</w:t>
      </w:r>
      <w:r>
        <w:rPr>
          <w:rStyle w:val="10"/>
          <w:rFonts w:hint="eastAsia" w:eastAsia="方正仿宋_GBK"/>
          <w:b w:val="0"/>
          <w:sz w:val="32"/>
          <w:szCs w:val="32"/>
          <w:lang w:eastAsia="zh-CN"/>
        </w:rPr>
        <w:t>“三公”经费</w:t>
      </w:r>
      <w:r>
        <w:rPr>
          <w:rStyle w:val="10"/>
          <w:rFonts w:hint="eastAsia" w:eastAsia="方正仿宋_GBK"/>
          <w:b w:val="0"/>
          <w:sz w:val="32"/>
          <w:szCs w:val="32"/>
        </w:rPr>
        <w:t>只减不增。盘活财政存量资金3.32亿元、闲置国有资产2.96亿元。二是企业效益总体稳健。全力执行“支持企业45条”等政策措施，为市场主体提供金融支持、财税纾困，降低生产经营成本超过1.4亿元，减税降费4.92亿元，全县规上工业企业利润率同比提高3个百分点。三是居民收入持续增加。财政民生支出保持在65%以上，</w:t>
      </w:r>
      <w:r>
        <w:rPr>
          <w:rStyle w:val="10"/>
          <w:rFonts w:eastAsia="方正仿宋_GBK"/>
          <w:b w:val="0"/>
          <w:sz w:val="32"/>
          <w:szCs w:val="32"/>
        </w:rPr>
        <w:t>全体居民人均可支配收入</w:t>
      </w:r>
      <w:r>
        <w:rPr>
          <w:rStyle w:val="10"/>
          <w:rFonts w:hint="eastAsia" w:eastAsia="方正仿宋_GBK"/>
          <w:b w:val="0"/>
          <w:sz w:val="32"/>
          <w:szCs w:val="32"/>
        </w:rPr>
        <w:t>28248元、</w:t>
      </w:r>
      <w:r>
        <w:rPr>
          <w:rStyle w:val="10"/>
          <w:rFonts w:eastAsia="方正仿宋_GBK"/>
          <w:b w:val="0"/>
          <w:sz w:val="32"/>
          <w:szCs w:val="32"/>
        </w:rPr>
        <w:t>增长8.</w:t>
      </w:r>
      <w:r>
        <w:rPr>
          <w:rStyle w:val="10"/>
          <w:rFonts w:hint="eastAsia" w:eastAsia="方正仿宋_GBK"/>
          <w:b w:val="0"/>
          <w:sz w:val="32"/>
          <w:szCs w:val="32"/>
        </w:rPr>
        <w:t>1</w:t>
      </w:r>
      <w:r>
        <w:rPr>
          <w:rStyle w:val="10"/>
          <w:rFonts w:eastAsia="方正仿宋_GBK"/>
          <w:b w:val="0"/>
          <w:sz w:val="32"/>
          <w:szCs w:val="32"/>
        </w:rPr>
        <w:t>%，城镇居民人均可支配收入</w:t>
      </w:r>
      <w:r>
        <w:rPr>
          <w:rStyle w:val="10"/>
          <w:rFonts w:hint="eastAsia" w:eastAsia="方正仿宋_GBK"/>
          <w:b w:val="0"/>
          <w:sz w:val="32"/>
          <w:szCs w:val="32"/>
        </w:rPr>
        <w:t>、农村居民人均可支配收入分别达40543元、17617元。</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（六）民生民利持续保障，人民获得感幸福感安全感显著增强。</w:t>
      </w:r>
      <w:r>
        <w:rPr>
          <w:rStyle w:val="10"/>
          <w:rFonts w:hint="eastAsia" w:eastAsia="方正仿宋_GBK"/>
          <w:b w:val="0"/>
          <w:sz w:val="32"/>
          <w:szCs w:val="32"/>
        </w:rPr>
        <w:t>一是基本公共服务均等化水平逐步提升。忠州中学银山校区建成投用，苏家小学等项目加快推进，新改扩建校舍15万平方米，重本上线率持续高于全市。完成县中医院提档升级，县人民医院拔山分院等项目加快推进。完善“1+1+X+N”医联体模式，县域内就诊率92.6%。新增公园绿地15万平方米，建成区绿化率43.2%。开展流动文化进村服务1000余场次。养老事业健康发展，基本实现城市社区养老服务设施全覆盖。二是保障体系加快织密。加大保就业力度，城镇新增就业8519人，城镇调查失业率5%。健全社会保险体系，养老、工伤、失业保险参保超过76万人次，基本养老保险、城乡医疗保险参保率95%以上。强化社会救助，发放社会救助金2.1亿元、抚恤补助优待金1.12亿元，城乡低保标准差距缩小到1:0.8。深化食药品市场监管，物价保持3.2%的低涨幅态势。成功创建“重庆市双拥模范县”。三是社会大局保持稳定。加强社会治理，扎实推进“三事分流”“三社联动”“三治并举”基层治理模式，信访事项群众满意率达99.7%。纵深推进扫黑除恶专项斗争，居民安全感指数显著提升。加大安全生产监管，全县未发生较大及以上生产安全事故和自然灾害事件。</w:t>
      </w:r>
    </w:p>
    <w:p>
      <w:pPr>
        <w:spacing w:line="560" w:lineRule="exact"/>
        <w:jc w:val="center"/>
        <w:rPr>
          <w:rFonts w:eastAsia="方正黑体_GBK"/>
          <w:sz w:val="32"/>
          <w:szCs w:val="32"/>
        </w:rPr>
      </w:pPr>
      <w:r>
        <w:rPr>
          <w:rFonts w:eastAsia="方正黑体_GBK"/>
          <w:spacing w:val="-10"/>
          <w:sz w:val="32"/>
          <w:szCs w:val="32"/>
        </w:rPr>
        <w:t>表</w:t>
      </w:r>
      <w:r>
        <w:rPr>
          <w:rFonts w:hint="eastAsia" w:eastAsia="方正黑体_GBK"/>
          <w:spacing w:val="-10"/>
          <w:sz w:val="32"/>
          <w:szCs w:val="32"/>
        </w:rPr>
        <w:t>1：</w:t>
      </w:r>
      <w:r>
        <w:rPr>
          <w:rFonts w:eastAsia="方正黑体_GBK"/>
          <w:spacing w:val="-10"/>
          <w:sz w:val="32"/>
          <w:szCs w:val="32"/>
        </w:rPr>
        <w:t>2020年国民经济和社会发展主要指标</w:t>
      </w:r>
      <w:r>
        <w:rPr>
          <w:rFonts w:hint="eastAsia" w:eastAsia="方正黑体_GBK"/>
          <w:spacing w:val="-10"/>
          <w:sz w:val="32"/>
          <w:szCs w:val="32"/>
        </w:rPr>
        <w:t>完成情况</w:t>
      </w:r>
    </w:p>
    <w:tbl>
      <w:tblPr>
        <w:tblStyle w:val="7"/>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832"/>
        <w:gridCol w:w="811"/>
        <w:gridCol w:w="1315"/>
        <w:gridCol w:w="12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blHeader/>
        </w:trPr>
        <w:tc>
          <w:tcPr>
            <w:tcW w:w="687" w:type="dxa"/>
            <w:vMerge w:val="restart"/>
            <w:vAlign w:val="center"/>
          </w:tcPr>
          <w:p>
            <w:pPr>
              <w:spacing w:line="0" w:lineRule="atLeast"/>
              <w:ind w:left="-53" w:leftChars="-25" w:right="-53" w:rightChars="-25"/>
              <w:jc w:val="center"/>
              <w:rPr>
                <w:rFonts w:eastAsia="方正楷体_GBK"/>
                <w:sz w:val="24"/>
              </w:rPr>
            </w:pPr>
            <w:r>
              <w:rPr>
                <w:rFonts w:eastAsia="方正楷体_GBK"/>
                <w:sz w:val="24"/>
              </w:rPr>
              <w:t>序号</w:t>
            </w:r>
          </w:p>
        </w:tc>
        <w:tc>
          <w:tcPr>
            <w:tcW w:w="3832" w:type="dxa"/>
            <w:vMerge w:val="restart"/>
            <w:vAlign w:val="center"/>
          </w:tcPr>
          <w:p>
            <w:pPr>
              <w:spacing w:line="0" w:lineRule="atLeast"/>
              <w:ind w:left="-53" w:leftChars="-25" w:right="-53" w:rightChars="-25"/>
              <w:jc w:val="center"/>
              <w:rPr>
                <w:rFonts w:eastAsia="方正楷体_GBK"/>
                <w:sz w:val="24"/>
              </w:rPr>
            </w:pPr>
            <w:r>
              <w:rPr>
                <w:rFonts w:eastAsia="方正楷体_GBK"/>
                <w:sz w:val="24"/>
              </w:rPr>
              <w:t>指标名称</w:t>
            </w:r>
          </w:p>
        </w:tc>
        <w:tc>
          <w:tcPr>
            <w:tcW w:w="811" w:type="dxa"/>
            <w:vMerge w:val="restart"/>
            <w:vAlign w:val="center"/>
          </w:tcPr>
          <w:p>
            <w:pPr>
              <w:spacing w:line="0" w:lineRule="atLeast"/>
              <w:ind w:left="-53" w:leftChars="-25" w:right="-53" w:rightChars="-25"/>
              <w:jc w:val="center"/>
              <w:rPr>
                <w:rFonts w:eastAsia="方正楷体_GBK"/>
                <w:sz w:val="24"/>
              </w:rPr>
            </w:pPr>
            <w:r>
              <w:rPr>
                <w:rFonts w:eastAsia="方正楷体_GBK"/>
                <w:sz w:val="24"/>
              </w:rPr>
              <w:t>单位</w:t>
            </w:r>
          </w:p>
        </w:tc>
        <w:tc>
          <w:tcPr>
            <w:tcW w:w="1315" w:type="dxa"/>
            <w:vMerge w:val="restart"/>
            <w:vAlign w:val="center"/>
          </w:tcPr>
          <w:p>
            <w:pPr>
              <w:spacing w:line="0" w:lineRule="atLeast"/>
              <w:ind w:left="-53" w:leftChars="-25" w:right="-53" w:rightChars="-25"/>
              <w:jc w:val="center"/>
              <w:rPr>
                <w:rFonts w:eastAsia="方正楷体_GBK"/>
                <w:sz w:val="24"/>
              </w:rPr>
            </w:pPr>
            <w:r>
              <w:rPr>
                <w:rFonts w:hint="eastAsia" w:eastAsia="方正楷体_GBK"/>
                <w:sz w:val="24"/>
              </w:rPr>
              <w:t>年初</w:t>
            </w:r>
            <w:r>
              <w:rPr>
                <w:rFonts w:eastAsia="方正楷体_GBK"/>
                <w:sz w:val="24"/>
              </w:rPr>
              <w:t>目标</w:t>
            </w:r>
          </w:p>
        </w:tc>
        <w:tc>
          <w:tcPr>
            <w:tcW w:w="2382" w:type="dxa"/>
            <w:gridSpan w:val="2"/>
            <w:vAlign w:val="center"/>
          </w:tcPr>
          <w:p>
            <w:pPr>
              <w:spacing w:line="0" w:lineRule="atLeast"/>
              <w:ind w:left="-53" w:leftChars="-25" w:right="-53" w:rightChars="-25"/>
              <w:jc w:val="center"/>
              <w:rPr>
                <w:rFonts w:eastAsia="方正楷体_GBK"/>
                <w:sz w:val="24"/>
              </w:rPr>
            </w:pPr>
            <w:r>
              <w:rPr>
                <w:rFonts w:hint="eastAsia" w:eastAsia="方正楷体_GBK"/>
                <w:sz w:val="24"/>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blHeader/>
        </w:trPr>
        <w:tc>
          <w:tcPr>
            <w:tcW w:w="687" w:type="dxa"/>
            <w:vMerge w:val="continue"/>
            <w:vAlign w:val="center"/>
          </w:tcPr>
          <w:p>
            <w:pPr>
              <w:spacing w:line="0" w:lineRule="atLeast"/>
              <w:ind w:left="-53" w:leftChars="-25" w:right="-53" w:rightChars="-25"/>
              <w:jc w:val="center"/>
              <w:rPr>
                <w:rFonts w:eastAsia="方正楷体_GBK"/>
                <w:sz w:val="24"/>
              </w:rPr>
            </w:pPr>
          </w:p>
        </w:tc>
        <w:tc>
          <w:tcPr>
            <w:tcW w:w="3832" w:type="dxa"/>
            <w:vMerge w:val="continue"/>
            <w:vAlign w:val="center"/>
          </w:tcPr>
          <w:p>
            <w:pPr>
              <w:spacing w:line="0" w:lineRule="atLeast"/>
              <w:ind w:left="-53" w:leftChars="-25" w:right="-53" w:rightChars="-25"/>
              <w:jc w:val="center"/>
              <w:rPr>
                <w:rFonts w:eastAsia="方正楷体_GBK"/>
                <w:sz w:val="24"/>
              </w:rPr>
            </w:pPr>
          </w:p>
        </w:tc>
        <w:tc>
          <w:tcPr>
            <w:tcW w:w="811" w:type="dxa"/>
            <w:vMerge w:val="continue"/>
            <w:vAlign w:val="center"/>
          </w:tcPr>
          <w:p>
            <w:pPr>
              <w:spacing w:line="0" w:lineRule="atLeast"/>
              <w:ind w:left="-53" w:leftChars="-25" w:right="-53" w:rightChars="-25"/>
              <w:jc w:val="center"/>
              <w:rPr>
                <w:rFonts w:eastAsia="方正楷体_GBK"/>
                <w:sz w:val="24"/>
              </w:rPr>
            </w:pPr>
          </w:p>
        </w:tc>
        <w:tc>
          <w:tcPr>
            <w:tcW w:w="1315" w:type="dxa"/>
            <w:vMerge w:val="continue"/>
            <w:vAlign w:val="center"/>
          </w:tcPr>
          <w:p>
            <w:pPr>
              <w:spacing w:line="0" w:lineRule="atLeast"/>
              <w:ind w:left="-53" w:leftChars="-25" w:right="-53" w:rightChars="-25"/>
              <w:jc w:val="center"/>
              <w:rPr>
                <w:rFonts w:eastAsia="方正楷体_GBK"/>
                <w:sz w:val="24"/>
              </w:rPr>
            </w:pPr>
          </w:p>
        </w:tc>
        <w:tc>
          <w:tcPr>
            <w:tcW w:w="1247" w:type="dxa"/>
            <w:vAlign w:val="center"/>
          </w:tcPr>
          <w:p>
            <w:pPr>
              <w:spacing w:line="0" w:lineRule="atLeast"/>
              <w:ind w:left="-53" w:leftChars="-25" w:right="-53" w:rightChars="-25"/>
              <w:jc w:val="center"/>
              <w:rPr>
                <w:rFonts w:eastAsia="方正楷体_GBK"/>
                <w:sz w:val="24"/>
              </w:rPr>
            </w:pPr>
            <w:r>
              <w:rPr>
                <w:rFonts w:hint="eastAsia" w:eastAsia="方正楷体_GBK"/>
                <w:sz w:val="24"/>
              </w:rPr>
              <w:t>绝对额</w:t>
            </w:r>
          </w:p>
        </w:tc>
        <w:tc>
          <w:tcPr>
            <w:tcW w:w="1135" w:type="dxa"/>
            <w:vAlign w:val="center"/>
          </w:tcPr>
          <w:p>
            <w:pPr>
              <w:spacing w:line="0" w:lineRule="atLeast"/>
              <w:ind w:left="-53" w:leftChars="-25" w:right="-53" w:rightChars="-25"/>
              <w:jc w:val="center"/>
              <w:rPr>
                <w:rFonts w:eastAsia="方正楷体_GBK"/>
                <w:sz w:val="24"/>
              </w:rPr>
            </w:pPr>
            <w:r>
              <w:rPr>
                <w:rFonts w:hint="eastAsia" w:eastAsia="方正楷体_GBK"/>
                <w:sz w:val="24"/>
              </w:rPr>
              <w:t>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楷体_GBK"/>
                <w:sz w:val="24"/>
              </w:rPr>
            </w:pPr>
            <w:r>
              <w:rPr>
                <w:rFonts w:eastAsia="方正黑体_GBK"/>
                <w:sz w:val="24"/>
              </w:rPr>
              <w:t>一、发展质量效益</w:t>
            </w:r>
          </w:p>
        </w:tc>
        <w:tc>
          <w:tcPr>
            <w:tcW w:w="1247" w:type="dxa"/>
            <w:vAlign w:val="center"/>
          </w:tcPr>
          <w:p>
            <w:pPr>
              <w:spacing w:line="0" w:lineRule="atLeast"/>
              <w:ind w:left="-53" w:leftChars="-25" w:right="-53" w:rightChars="-25"/>
              <w:rPr>
                <w:rFonts w:eastAsia="方正黑体_GBK"/>
                <w:sz w:val="24"/>
              </w:rPr>
            </w:pPr>
          </w:p>
        </w:tc>
        <w:tc>
          <w:tcPr>
            <w:tcW w:w="1135" w:type="dxa"/>
            <w:vAlign w:val="center"/>
          </w:tcPr>
          <w:p>
            <w:pPr>
              <w:spacing w:line="0" w:lineRule="atLeast"/>
              <w:ind w:left="-53" w:leftChars="-25" w:right="-53" w:rightChars="-25"/>
              <w:rPr>
                <w:rFonts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w:t>
            </w:r>
          </w:p>
        </w:tc>
        <w:tc>
          <w:tcPr>
            <w:tcW w:w="3832" w:type="dxa"/>
            <w:vAlign w:val="center"/>
          </w:tcPr>
          <w:p>
            <w:pPr>
              <w:spacing w:line="0" w:lineRule="atLeast"/>
              <w:ind w:left="-53" w:leftChars="-25" w:right="-53" w:rightChars="-25"/>
              <w:rPr>
                <w:rFonts w:eastAsia="方正仿宋_GBK"/>
                <w:sz w:val="24"/>
              </w:rPr>
            </w:pPr>
            <w:r>
              <w:rPr>
                <w:rFonts w:hint="eastAsia" w:eastAsia="方正仿宋_GBK" w:cs="宋体"/>
                <w:kern w:val="0"/>
                <w:sz w:val="24"/>
              </w:rPr>
              <w:t>*</w:t>
            </w:r>
            <w:r>
              <w:rPr>
                <w:rFonts w:eastAsia="方正仿宋_GBK"/>
                <w:kern w:val="0"/>
                <w:sz w:val="24"/>
              </w:rPr>
              <w:t>地区生产总值（GDP）增速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6左右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427.65亿元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w:t>
            </w:r>
          </w:p>
        </w:tc>
        <w:tc>
          <w:tcPr>
            <w:tcW w:w="3832" w:type="dxa"/>
            <w:vAlign w:val="center"/>
          </w:tcPr>
          <w:p>
            <w:pPr>
              <w:spacing w:line="0" w:lineRule="atLeast"/>
              <w:ind w:left="-53" w:leftChars="-25" w:right="-53" w:rightChars="-25"/>
              <w:rPr>
                <w:rFonts w:eastAsia="方正仿宋_GBK"/>
                <w:sz w:val="24"/>
              </w:rPr>
            </w:pPr>
            <w:r>
              <w:rPr>
                <w:rFonts w:hint="eastAsia" w:eastAsia="方正仿宋_GBK" w:cs="宋体"/>
                <w:kern w:val="0"/>
                <w:sz w:val="24"/>
              </w:rPr>
              <w:t>*</w:t>
            </w:r>
            <w:r>
              <w:rPr>
                <w:rFonts w:eastAsia="方正仿宋_GBK"/>
                <w:spacing w:val="-10"/>
                <w:sz w:val="24"/>
              </w:rPr>
              <w:t>#工业增加值</w:t>
            </w:r>
            <w:r>
              <w:rPr>
                <w:rFonts w:eastAsia="方正仿宋_GBK"/>
                <w:kern w:val="0"/>
                <w:sz w:val="24"/>
              </w:rPr>
              <w:t>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7左右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100.81亿元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w:t>
            </w:r>
          </w:p>
        </w:tc>
        <w:tc>
          <w:tcPr>
            <w:tcW w:w="3832" w:type="dxa"/>
            <w:vAlign w:val="center"/>
          </w:tcPr>
          <w:p>
            <w:pPr>
              <w:spacing w:line="0" w:lineRule="atLeast"/>
              <w:ind w:left="-53" w:leftChars="-25" w:right="-53" w:rightChars="-25"/>
              <w:rPr>
                <w:rFonts w:eastAsia="方正仿宋_GBK"/>
                <w:sz w:val="24"/>
              </w:rPr>
            </w:pPr>
            <w:r>
              <w:rPr>
                <w:rFonts w:eastAsia="方正仿宋_GBK"/>
                <w:kern w:val="0"/>
                <w:sz w:val="24"/>
              </w:rPr>
              <w:t>固定资产投资增速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4左右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205.15亿元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highlight w:val="yellow"/>
              </w:rPr>
            </w:pPr>
            <w:r>
              <w:rPr>
                <w:rFonts w:eastAsia="方正仿宋_GBK"/>
                <w:sz w:val="24"/>
              </w:rPr>
              <w:t>4</w:t>
            </w:r>
          </w:p>
        </w:tc>
        <w:tc>
          <w:tcPr>
            <w:tcW w:w="3832" w:type="dxa"/>
            <w:vAlign w:val="center"/>
          </w:tcPr>
          <w:p>
            <w:pPr>
              <w:spacing w:line="0" w:lineRule="atLeast"/>
              <w:ind w:left="-53" w:leftChars="-25" w:right="-53" w:rightChars="-25"/>
              <w:rPr>
                <w:rFonts w:eastAsia="方正仿宋_GBK"/>
                <w:sz w:val="24"/>
              </w:rPr>
            </w:pPr>
            <w:r>
              <w:rPr>
                <w:rFonts w:eastAsia="方正仿宋_GBK"/>
                <w:spacing w:val="-10"/>
                <w:sz w:val="24"/>
              </w:rPr>
              <w:t>重点项目完成</w:t>
            </w:r>
            <w:r>
              <w:rPr>
                <w:rFonts w:eastAsia="方正仿宋_GBK"/>
                <w:kern w:val="0"/>
                <w:sz w:val="24"/>
              </w:rPr>
              <w:t>投资额</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120以上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128.7亿元元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5</w:t>
            </w:r>
          </w:p>
        </w:tc>
        <w:tc>
          <w:tcPr>
            <w:tcW w:w="3832" w:type="dxa"/>
            <w:vAlign w:val="center"/>
          </w:tcPr>
          <w:p>
            <w:pPr>
              <w:spacing w:line="0" w:lineRule="atLeast"/>
              <w:ind w:left="-53" w:leftChars="-25" w:right="-53" w:rightChars="-25"/>
              <w:rPr>
                <w:rFonts w:eastAsia="方正仿宋_GBK"/>
                <w:sz w:val="24"/>
              </w:rPr>
            </w:pPr>
            <w:r>
              <w:rPr>
                <w:rFonts w:hint="eastAsia" w:eastAsia="方正仿宋_GBK" w:cs="宋体"/>
                <w:kern w:val="0"/>
                <w:sz w:val="24"/>
              </w:rPr>
              <w:t>*</w:t>
            </w:r>
            <w:r>
              <w:rPr>
                <w:rFonts w:eastAsia="方正仿宋_GBK"/>
                <w:kern w:val="0"/>
                <w:sz w:val="24"/>
              </w:rPr>
              <w:t>社会消费品零售总额增速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8左右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192.18亿元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6</w:t>
            </w:r>
          </w:p>
        </w:tc>
        <w:tc>
          <w:tcPr>
            <w:tcW w:w="3832" w:type="dxa"/>
            <w:vAlign w:val="center"/>
          </w:tcPr>
          <w:p>
            <w:pPr>
              <w:spacing w:line="0" w:lineRule="atLeast"/>
              <w:ind w:left="-53" w:leftChars="-25" w:right="-53" w:rightChars="-25"/>
              <w:rPr>
                <w:rFonts w:eastAsia="方正仿宋_GBK"/>
                <w:sz w:val="24"/>
              </w:rPr>
            </w:pPr>
            <w:r>
              <w:rPr>
                <w:rFonts w:hint="eastAsia" w:eastAsia="方正仿宋_GBK" w:cs="宋体"/>
                <w:kern w:val="0"/>
                <w:sz w:val="24"/>
              </w:rPr>
              <w:t>*</w:t>
            </w:r>
            <w:r>
              <w:rPr>
                <w:rFonts w:eastAsia="方正仿宋_GBK"/>
                <w:kern w:val="0"/>
                <w:sz w:val="24"/>
              </w:rPr>
              <w:t>财政一般公共预算收入增速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6左右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19.23亿元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7</w:t>
            </w:r>
          </w:p>
        </w:tc>
        <w:tc>
          <w:tcPr>
            <w:tcW w:w="3832" w:type="dxa"/>
            <w:vAlign w:val="center"/>
          </w:tcPr>
          <w:p>
            <w:pPr>
              <w:spacing w:line="0" w:lineRule="atLeast"/>
              <w:ind w:left="-53" w:leftChars="-25" w:right="-53" w:rightChars="-25"/>
              <w:jc w:val="left"/>
              <w:rPr>
                <w:rFonts w:eastAsia="方正仿宋_GBK"/>
                <w:sz w:val="24"/>
              </w:rPr>
            </w:pPr>
            <w:r>
              <w:rPr>
                <w:rFonts w:hint="eastAsia" w:eastAsia="方正仿宋_GBK" w:cs="宋体"/>
                <w:kern w:val="0"/>
                <w:sz w:val="24"/>
              </w:rPr>
              <w:t>*税</w:t>
            </w:r>
            <w:r>
              <w:rPr>
                <w:rFonts w:eastAsia="方正仿宋_GBK"/>
                <w:kern w:val="0"/>
                <w:sz w:val="24"/>
              </w:rPr>
              <w:t>收占一般公共预算收入比重</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70左右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67.3</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仿宋_GBK"/>
                <w:spacing w:val="-10"/>
                <w:sz w:val="24"/>
              </w:rPr>
            </w:pPr>
            <w:r>
              <w:rPr>
                <w:rFonts w:eastAsia="方正黑体_GBK"/>
                <w:spacing w:val="-10"/>
                <w:sz w:val="24"/>
              </w:rPr>
              <w:t>二、创新发展</w:t>
            </w:r>
          </w:p>
        </w:tc>
        <w:tc>
          <w:tcPr>
            <w:tcW w:w="1247" w:type="dxa"/>
            <w:vAlign w:val="center"/>
          </w:tcPr>
          <w:p>
            <w:pPr>
              <w:spacing w:line="0" w:lineRule="atLeast"/>
              <w:ind w:left="-53" w:leftChars="-25" w:right="-53" w:rightChars="-25"/>
              <w:rPr>
                <w:rFonts w:eastAsia="方正黑体_GBK"/>
                <w:spacing w:val="-10"/>
                <w:sz w:val="24"/>
              </w:rPr>
            </w:pPr>
          </w:p>
        </w:tc>
        <w:tc>
          <w:tcPr>
            <w:tcW w:w="1135" w:type="dxa"/>
            <w:vAlign w:val="center"/>
          </w:tcPr>
          <w:p>
            <w:pPr>
              <w:spacing w:line="0" w:lineRule="atLeast"/>
              <w:ind w:left="-53" w:leftChars="-25" w:right="-53" w:rightChars="-25"/>
              <w:rPr>
                <w:rFonts w:eastAsia="方正黑体_GBK"/>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8</w:t>
            </w:r>
          </w:p>
        </w:tc>
        <w:tc>
          <w:tcPr>
            <w:tcW w:w="3832" w:type="dxa"/>
            <w:vAlign w:val="center"/>
          </w:tcPr>
          <w:p>
            <w:pPr>
              <w:spacing w:line="0" w:lineRule="atLeast"/>
              <w:ind w:left="-53" w:leftChars="-25" w:right="-53" w:rightChars="-25"/>
              <w:jc w:val="left"/>
              <w:rPr>
                <w:rFonts w:eastAsia="方正仿宋_GBK"/>
                <w:sz w:val="24"/>
              </w:rPr>
            </w:pPr>
            <w:r>
              <w:rPr>
                <w:rFonts w:eastAsia="方正仿宋_GBK"/>
                <w:kern w:val="0"/>
                <w:sz w:val="24"/>
              </w:rPr>
              <w:t>战略性新兴制造业增加值增速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10左右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66.5亿元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9</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规模以上工业增加值率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34左右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34.1</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10</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szCs w:val="21"/>
              </w:rPr>
              <w:t>全社会研究与试验发展（R&amp;D）经费投入</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2</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2</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11</w:t>
            </w:r>
          </w:p>
        </w:tc>
        <w:tc>
          <w:tcPr>
            <w:tcW w:w="3832" w:type="dxa"/>
            <w:vAlign w:val="center"/>
          </w:tcPr>
          <w:p>
            <w:pPr>
              <w:widowControl/>
              <w:spacing w:line="0" w:lineRule="atLeast"/>
              <w:ind w:left="-53" w:leftChars="-25" w:right="-53" w:rightChars="-25"/>
              <w:jc w:val="left"/>
              <w:rPr>
                <w:rFonts w:eastAsia="方正仿宋_GBK"/>
                <w:sz w:val="24"/>
              </w:rPr>
            </w:pPr>
            <w:r>
              <w:rPr>
                <w:rFonts w:hint="eastAsia" w:eastAsia="方正仿宋_GBK"/>
                <w:kern w:val="0"/>
                <w:sz w:val="24"/>
              </w:rPr>
              <w:t>“</w:t>
            </w:r>
            <w:r>
              <w:rPr>
                <w:rFonts w:eastAsia="方正仿宋_GBK"/>
                <w:kern w:val="0"/>
                <w:sz w:val="24"/>
              </w:rPr>
              <w:t>柑橘网</w:t>
            </w:r>
            <w:r>
              <w:rPr>
                <w:rFonts w:hint="eastAsia" w:eastAsia="方正仿宋_GBK"/>
                <w:kern w:val="0"/>
                <w:sz w:val="24"/>
              </w:rPr>
              <w:t>”</w:t>
            </w:r>
            <w:r>
              <w:rPr>
                <w:rFonts w:eastAsia="方正仿宋_GBK"/>
                <w:kern w:val="0"/>
                <w:sz w:val="24"/>
              </w:rPr>
              <w:t>累计交易额</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30</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30</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12</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总部经济结算额</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300</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424.8</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13</w:t>
            </w:r>
          </w:p>
        </w:tc>
        <w:tc>
          <w:tcPr>
            <w:tcW w:w="3832" w:type="dxa"/>
            <w:vAlign w:val="center"/>
          </w:tcPr>
          <w:p>
            <w:pPr>
              <w:widowControl/>
              <w:spacing w:line="0" w:lineRule="atLeast"/>
              <w:ind w:left="-53" w:leftChars="-25" w:right="-53" w:rightChars="-25"/>
              <w:jc w:val="left"/>
              <w:rPr>
                <w:rFonts w:eastAsia="方正仿宋_GBK"/>
                <w:kern w:val="0"/>
                <w:sz w:val="24"/>
                <w:shd w:val="clear" w:color="auto" w:fill="FFFFFF"/>
              </w:rPr>
            </w:pPr>
            <w:r>
              <w:rPr>
                <w:rFonts w:eastAsia="方正仿宋_GBK"/>
                <w:kern w:val="0"/>
                <w:sz w:val="24"/>
                <w:shd w:val="clear" w:color="auto" w:fill="FFFFFF"/>
              </w:rPr>
              <w:t>数字经济增加值增速</w:t>
            </w:r>
          </w:p>
        </w:tc>
        <w:tc>
          <w:tcPr>
            <w:tcW w:w="811"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15左右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64.5亿元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仿宋_GBK"/>
                <w:spacing w:val="-10"/>
                <w:sz w:val="24"/>
              </w:rPr>
            </w:pPr>
            <w:r>
              <w:rPr>
                <w:rFonts w:eastAsia="方正黑体_GBK"/>
                <w:spacing w:val="-10"/>
                <w:sz w:val="24"/>
              </w:rPr>
              <w:t>三、协调发展</w:t>
            </w:r>
          </w:p>
        </w:tc>
        <w:tc>
          <w:tcPr>
            <w:tcW w:w="1247" w:type="dxa"/>
            <w:vAlign w:val="center"/>
          </w:tcPr>
          <w:p>
            <w:pPr>
              <w:spacing w:line="0" w:lineRule="atLeast"/>
              <w:ind w:left="-53" w:leftChars="-25" w:right="-53" w:rightChars="-25"/>
              <w:rPr>
                <w:rFonts w:eastAsia="方正黑体_GBK"/>
                <w:spacing w:val="-10"/>
                <w:sz w:val="24"/>
              </w:rPr>
            </w:pPr>
          </w:p>
        </w:tc>
        <w:tc>
          <w:tcPr>
            <w:tcW w:w="1135" w:type="dxa"/>
            <w:vAlign w:val="center"/>
          </w:tcPr>
          <w:p>
            <w:pPr>
              <w:spacing w:line="0" w:lineRule="atLeast"/>
              <w:ind w:left="-53" w:leftChars="-25" w:right="-53" w:rightChars="-25"/>
              <w:rPr>
                <w:rFonts w:eastAsia="方正黑体_GBK"/>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14</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农业增加值增速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4左右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55.8亿元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15</w:t>
            </w:r>
          </w:p>
        </w:tc>
        <w:tc>
          <w:tcPr>
            <w:tcW w:w="3832" w:type="dxa"/>
            <w:vAlign w:val="center"/>
          </w:tcPr>
          <w:p>
            <w:pPr>
              <w:widowControl/>
              <w:spacing w:line="0" w:lineRule="atLeast"/>
              <w:ind w:left="-53" w:leftChars="-25" w:right="-53" w:rightChars="-25"/>
              <w:jc w:val="left"/>
              <w:rPr>
                <w:rFonts w:eastAsia="方正仿宋_GBK"/>
                <w:sz w:val="24"/>
              </w:rPr>
            </w:pPr>
            <w:r>
              <w:rPr>
                <w:rFonts w:hint="eastAsia" w:eastAsia="方正仿宋_GBK" w:cs="宋体"/>
                <w:kern w:val="0"/>
                <w:sz w:val="24"/>
              </w:rPr>
              <w:t>*</w:t>
            </w:r>
            <w:r>
              <w:rPr>
                <w:rFonts w:eastAsia="方正仿宋_GBK"/>
                <w:kern w:val="0"/>
                <w:sz w:val="24"/>
                <w:shd w:val="clear" w:color="auto" w:fill="FFFFFF"/>
              </w:rPr>
              <w:t>规上工业增加值增速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8左右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62.94亿元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16</w:t>
            </w:r>
          </w:p>
        </w:tc>
        <w:tc>
          <w:tcPr>
            <w:tcW w:w="3832" w:type="dxa"/>
            <w:vAlign w:val="center"/>
          </w:tcPr>
          <w:p>
            <w:pPr>
              <w:widowControl/>
              <w:spacing w:line="0" w:lineRule="atLeast"/>
              <w:ind w:left="-53" w:leftChars="-25" w:right="-53" w:rightChars="-25"/>
              <w:jc w:val="left"/>
              <w:rPr>
                <w:rFonts w:eastAsia="方正仿宋_GBK"/>
                <w:sz w:val="24"/>
              </w:rPr>
            </w:pPr>
            <w:r>
              <w:rPr>
                <w:rFonts w:hint="eastAsia" w:eastAsia="方正仿宋_GBK" w:cs="宋体"/>
                <w:kern w:val="0"/>
                <w:sz w:val="24"/>
              </w:rPr>
              <w:t>*</w:t>
            </w:r>
            <w:r>
              <w:rPr>
                <w:rFonts w:eastAsia="方正仿宋_GBK"/>
                <w:kern w:val="0"/>
                <w:sz w:val="24"/>
                <w:shd w:val="clear" w:color="auto" w:fill="FFFFFF"/>
              </w:rPr>
              <w:t>第三产业增加值增速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7左右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182.13亿元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17</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城镇化率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47.8</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50</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18</w:t>
            </w:r>
          </w:p>
        </w:tc>
        <w:tc>
          <w:tcPr>
            <w:tcW w:w="3832" w:type="dxa"/>
            <w:vAlign w:val="center"/>
          </w:tcPr>
          <w:p>
            <w:pPr>
              <w:spacing w:line="0" w:lineRule="atLeast"/>
              <w:ind w:left="-53" w:leftChars="-25" w:right="-53" w:rightChars="-25"/>
              <w:jc w:val="left"/>
              <w:rPr>
                <w:rFonts w:eastAsia="方正仿宋_GBK"/>
                <w:sz w:val="24"/>
              </w:rPr>
            </w:pPr>
            <w:r>
              <w:rPr>
                <w:rFonts w:eastAsia="方正仿宋_GBK"/>
                <w:kern w:val="0"/>
                <w:sz w:val="24"/>
              </w:rPr>
              <w:t>民间投资占比</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52左右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56.9</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仿宋_GBK"/>
                <w:spacing w:val="-10"/>
                <w:sz w:val="24"/>
              </w:rPr>
            </w:pPr>
            <w:r>
              <w:rPr>
                <w:rFonts w:eastAsia="方正黑体_GBK"/>
                <w:spacing w:val="-10"/>
                <w:sz w:val="24"/>
              </w:rPr>
              <w:t>四、绿色发展</w:t>
            </w:r>
          </w:p>
        </w:tc>
        <w:tc>
          <w:tcPr>
            <w:tcW w:w="1247" w:type="dxa"/>
            <w:vAlign w:val="center"/>
          </w:tcPr>
          <w:p>
            <w:pPr>
              <w:spacing w:line="0" w:lineRule="atLeast"/>
              <w:ind w:left="-53" w:leftChars="-25" w:right="-53" w:rightChars="-25"/>
              <w:rPr>
                <w:rFonts w:eastAsia="方正黑体_GBK"/>
                <w:spacing w:val="-10"/>
                <w:sz w:val="24"/>
              </w:rPr>
            </w:pPr>
          </w:p>
        </w:tc>
        <w:tc>
          <w:tcPr>
            <w:tcW w:w="1135" w:type="dxa"/>
            <w:vAlign w:val="center"/>
          </w:tcPr>
          <w:p>
            <w:pPr>
              <w:spacing w:line="0" w:lineRule="atLeast"/>
              <w:ind w:left="-53" w:leftChars="-25" w:right="-53" w:rightChars="-25"/>
              <w:rPr>
                <w:rFonts w:eastAsia="方正黑体_GBK"/>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19</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单位地区生产总值能耗下降率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3.3</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20</w:t>
            </w:r>
          </w:p>
        </w:tc>
        <w:tc>
          <w:tcPr>
            <w:tcW w:w="5958" w:type="dxa"/>
            <w:gridSpan w:val="3"/>
            <w:vAlign w:val="center"/>
          </w:tcPr>
          <w:p>
            <w:pPr>
              <w:spacing w:line="0" w:lineRule="atLeast"/>
              <w:ind w:left="-53" w:leftChars="-25" w:right="-53" w:rightChars="-25"/>
              <w:rPr>
                <w:rFonts w:eastAsia="方正仿宋_GBK"/>
                <w:sz w:val="24"/>
              </w:rPr>
            </w:pPr>
            <w:r>
              <w:rPr>
                <w:rFonts w:eastAsia="方正仿宋_GBK"/>
                <w:kern w:val="0"/>
                <w:sz w:val="24"/>
                <w:shd w:val="clear" w:color="auto" w:fill="FFFFFF"/>
              </w:rPr>
              <w:t>主要污染物总量较2015年累计下降率</w:t>
            </w:r>
          </w:p>
        </w:tc>
        <w:tc>
          <w:tcPr>
            <w:tcW w:w="1247" w:type="dxa"/>
            <w:vAlign w:val="center"/>
          </w:tcPr>
          <w:p>
            <w:pPr>
              <w:spacing w:line="0" w:lineRule="atLeast"/>
              <w:ind w:left="-53" w:leftChars="-25" w:right="-53" w:rightChars="-25"/>
              <w:jc w:val="center"/>
              <w:rPr>
                <w:rFonts w:eastAsia="方正仿宋_GBK"/>
                <w:kern w:val="0"/>
                <w:sz w:val="24"/>
                <w:shd w:val="clear" w:color="auto" w:fill="FFFFFF"/>
              </w:rPr>
            </w:pPr>
            <w:r>
              <w:rPr>
                <w:rFonts w:hint="eastAsia" w:eastAsia="方正仿宋_GBK"/>
                <w:kern w:val="0"/>
                <w:sz w:val="24"/>
                <w:shd w:val="clear" w:color="auto" w:fill="FFFFFF"/>
              </w:rPr>
              <w:t>—</w:t>
            </w:r>
          </w:p>
        </w:tc>
        <w:tc>
          <w:tcPr>
            <w:tcW w:w="1135" w:type="dxa"/>
            <w:vAlign w:val="center"/>
          </w:tcPr>
          <w:p>
            <w:pPr>
              <w:spacing w:line="0" w:lineRule="atLeast"/>
              <w:ind w:left="-53" w:leftChars="-25" w:right="-53" w:rightChars="-25"/>
              <w:jc w:val="center"/>
              <w:rPr>
                <w:rFonts w:eastAsia="方正仿宋_GBK"/>
                <w:kern w:val="0"/>
                <w:sz w:val="24"/>
                <w:shd w:val="clear" w:color="auto" w:fill="FFFFFF"/>
              </w:rPr>
            </w:pPr>
            <w:r>
              <w:rPr>
                <w:rFonts w:hint="eastAsia" w:eastAsia="方正仿宋_GBK"/>
                <w:kern w:val="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20-1</w:t>
            </w:r>
          </w:p>
        </w:tc>
        <w:tc>
          <w:tcPr>
            <w:tcW w:w="3832" w:type="dxa"/>
            <w:vAlign w:val="center"/>
          </w:tcPr>
          <w:p>
            <w:pPr>
              <w:widowControl/>
              <w:spacing w:line="0" w:lineRule="atLeast"/>
              <w:ind w:left="-53" w:leftChars="-25" w:right="-53" w:rightChars="-25" w:firstLine="240" w:firstLineChars="100"/>
              <w:jc w:val="left"/>
              <w:rPr>
                <w:rFonts w:eastAsia="方正仿宋_GBK"/>
                <w:sz w:val="24"/>
              </w:rPr>
            </w:pPr>
            <w:r>
              <w:rPr>
                <w:rFonts w:eastAsia="方正仿宋_GBK"/>
                <w:kern w:val="0"/>
                <w:sz w:val="24"/>
                <w:shd w:val="clear" w:color="auto" w:fill="FFFFFF"/>
              </w:rPr>
              <w:t>#化学需氧量</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hint="eastAsia" w:eastAsia="方正仿宋_GBK"/>
                <w:sz w:val="24"/>
              </w:rPr>
              <w:t>8.5</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8.5</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20-2</w:t>
            </w:r>
          </w:p>
        </w:tc>
        <w:tc>
          <w:tcPr>
            <w:tcW w:w="3832" w:type="dxa"/>
            <w:vAlign w:val="center"/>
          </w:tcPr>
          <w:p>
            <w:pPr>
              <w:widowControl/>
              <w:spacing w:line="0" w:lineRule="atLeast"/>
              <w:ind w:left="-53" w:leftChars="-25" w:right="-53" w:rightChars="-25" w:firstLine="240" w:firstLineChars="100"/>
              <w:jc w:val="left"/>
              <w:rPr>
                <w:rFonts w:eastAsia="方正仿宋_GBK"/>
                <w:sz w:val="24"/>
              </w:rPr>
            </w:pPr>
            <w:r>
              <w:rPr>
                <w:rFonts w:eastAsia="方正仿宋_GBK"/>
                <w:kern w:val="0"/>
                <w:sz w:val="24"/>
                <w:shd w:val="clear" w:color="auto" w:fill="FFFFFF"/>
              </w:rPr>
              <w:t>#二氧化硫</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3.9</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7.8</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kern w:val="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20-3</w:t>
            </w:r>
          </w:p>
        </w:tc>
        <w:tc>
          <w:tcPr>
            <w:tcW w:w="3832" w:type="dxa"/>
            <w:vAlign w:val="center"/>
          </w:tcPr>
          <w:p>
            <w:pPr>
              <w:widowControl/>
              <w:spacing w:line="0" w:lineRule="atLeast"/>
              <w:ind w:left="-53" w:leftChars="-25" w:right="-53" w:rightChars="-25" w:firstLine="240" w:firstLineChars="100"/>
              <w:jc w:val="left"/>
              <w:rPr>
                <w:rFonts w:eastAsia="方正仿宋_GBK"/>
                <w:sz w:val="24"/>
              </w:rPr>
            </w:pPr>
            <w:r>
              <w:rPr>
                <w:rFonts w:eastAsia="方正仿宋_GBK"/>
                <w:kern w:val="0"/>
                <w:sz w:val="24"/>
                <w:shd w:val="clear" w:color="auto" w:fill="FFFFFF"/>
              </w:rPr>
              <w:t>#氨氮</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hint="eastAsia" w:eastAsia="方正仿宋_GBK"/>
                <w:spacing w:val="-10"/>
                <w:sz w:val="24"/>
              </w:rPr>
              <w:t>4.9</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4.9</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20-4</w:t>
            </w:r>
          </w:p>
        </w:tc>
        <w:tc>
          <w:tcPr>
            <w:tcW w:w="3832" w:type="dxa"/>
            <w:vAlign w:val="center"/>
          </w:tcPr>
          <w:p>
            <w:pPr>
              <w:widowControl/>
              <w:spacing w:line="0" w:lineRule="atLeast"/>
              <w:ind w:left="-53" w:leftChars="-25" w:right="-53" w:rightChars="-25" w:firstLine="240" w:firstLineChars="100"/>
              <w:jc w:val="left"/>
              <w:rPr>
                <w:rFonts w:eastAsia="方正仿宋_GBK"/>
                <w:sz w:val="24"/>
              </w:rPr>
            </w:pPr>
            <w:r>
              <w:rPr>
                <w:rFonts w:eastAsia="方正仿宋_GBK"/>
                <w:kern w:val="0"/>
                <w:sz w:val="24"/>
                <w:shd w:val="clear" w:color="auto" w:fill="FFFFFF"/>
              </w:rPr>
              <w:t>#氮氧化物</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50.6</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50.6</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kern w:val="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21</w:t>
            </w:r>
          </w:p>
        </w:tc>
        <w:tc>
          <w:tcPr>
            <w:tcW w:w="3832" w:type="dxa"/>
            <w:vAlign w:val="center"/>
          </w:tcPr>
          <w:p>
            <w:pPr>
              <w:widowControl/>
              <w:spacing w:line="0" w:lineRule="atLeast"/>
              <w:ind w:left="-53" w:leftChars="-25" w:right="-53" w:rightChars="-25"/>
              <w:rPr>
                <w:rFonts w:eastAsia="方正仿宋_GBK"/>
                <w:sz w:val="24"/>
              </w:rPr>
            </w:pPr>
            <w:r>
              <w:rPr>
                <w:rFonts w:eastAsia="方正仿宋_GBK"/>
                <w:kern w:val="0"/>
                <w:sz w:val="24"/>
                <w:shd w:val="clear" w:color="auto" w:fill="FFFFFF"/>
              </w:rPr>
              <w:t>森林覆盖率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51以上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52</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22</w:t>
            </w:r>
          </w:p>
        </w:tc>
        <w:tc>
          <w:tcPr>
            <w:tcW w:w="3832" w:type="dxa"/>
            <w:vAlign w:val="center"/>
          </w:tcPr>
          <w:p>
            <w:pPr>
              <w:widowControl/>
              <w:spacing w:line="0" w:lineRule="atLeast"/>
              <w:ind w:left="-53" w:leftChars="-25" w:right="-53" w:rightChars="-25"/>
              <w:rPr>
                <w:rFonts w:eastAsia="方正仿宋_GBK"/>
                <w:sz w:val="24"/>
              </w:rPr>
            </w:pPr>
            <w:r>
              <w:rPr>
                <w:rFonts w:eastAsia="方正仿宋_GBK"/>
                <w:sz w:val="24"/>
              </w:rPr>
              <w:t>城市建成区绿地率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38.9</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43.2</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23</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spacing w:val="-20"/>
                <w:kern w:val="0"/>
                <w:sz w:val="24"/>
              </w:rPr>
              <w:t>城区空气优良天数</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天</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320以上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357</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仿宋_GBK"/>
                <w:spacing w:val="-10"/>
                <w:sz w:val="24"/>
              </w:rPr>
            </w:pPr>
            <w:r>
              <w:rPr>
                <w:rFonts w:eastAsia="方正黑体_GBK"/>
                <w:spacing w:val="-10"/>
                <w:sz w:val="24"/>
              </w:rPr>
              <w:t>五、开放发展</w:t>
            </w:r>
          </w:p>
        </w:tc>
        <w:tc>
          <w:tcPr>
            <w:tcW w:w="1247" w:type="dxa"/>
            <w:vAlign w:val="center"/>
          </w:tcPr>
          <w:p>
            <w:pPr>
              <w:spacing w:line="0" w:lineRule="atLeast"/>
              <w:ind w:left="-53" w:leftChars="-25" w:right="-53" w:rightChars="-25"/>
              <w:rPr>
                <w:rFonts w:eastAsia="方正黑体_GBK"/>
                <w:spacing w:val="-10"/>
                <w:sz w:val="24"/>
              </w:rPr>
            </w:pPr>
          </w:p>
        </w:tc>
        <w:tc>
          <w:tcPr>
            <w:tcW w:w="1135" w:type="dxa"/>
            <w:vAlign w:val="center"/>
          </w:tcPr>
          <w:p>
            <w:pPr>
              <w:spacing w:line="0" w:lineRule="atLeast"/>
              <w:ind w:left="-53" w:leftChars="-25" w:right="-53" w:rightChars="-25"/>
              <w:rPr>
                <w:rFonts w:eastAsia="方正黑体_GBK"/>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24</w:t>
            </w:r>
          </w:p>
        </w:tc>
        <w:tc>
          <w:tcPr>
            <w:tcW w:w="3832" w:type="dxa"/>
            <w:vAlign w:val="center"/>
          </w:tcPr>
          <w:p>
            <w:pPr>
              <w:spacing w:line="0" w:lineRule="atLeast"/>
              <w:ind w:left="-53" w:leftChars="-25" w:right="-53" w:rightChars="-25"/>
              <w:jc w:val="left"/>
              <w:rPr>
                <w:rFonts w:eastAsia="方正仿宋_GBK"/>
                <w:sz w:val="24"/>
              </w:rPr>
            </w:pPr>
            <w:r>
              <w:rPr>
                <w:rFonts w:hint="eastAsia" w:eastAsia="方正仿宋_GBK" w:cs="宋体"/>
                <w:kern w:val="0"/>
                <w:sz w:val="24"/>
              </w:rPr>
              <w:t>*</w:t>
            </w:r>
            <w:r>
              <w:rPr>
                <w:rFonts w:eastAsia="方正仿宋_GBK"/>
                <w:spacing w:val="-10"/>
                <w:kern w:val="0"/>
                <w:sz w:val="24"/>
              </w:rPr>
              <w:t>进出口总额</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万美元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3000</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500</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25</w:t>
            </w:r>
          </w:p>
        </w:tc>
        <w:tc>
          <w:tcPr>
            <w:tcW w:w="3832" w:type="dxa"/>
            <w:vAlign w:val="center"/>
          </w:tcPr>
          <w:p>
            <w:pPr>
              <w:spacing w:line="0" w:lineRule="atLeast"/>
              <w:ind w:left="-53" w:leftChars="-25" w:right="-53" w:rightChars="-25"/>
              <w:jc w:val="left"/>
              <w:rPr>
                <w:rFonts w:eastAsia="方正仿宋_GBK"/>
                <w:sz w:val="24"/>
              </w:rPr>
            </w:pPr>
            <w:r>
              <w:rPr>
                <w:rFonts w:eastAsia="方正仿宋_GBK"/>
                <w:kern w:val="0"/>
                <w:sz w:val="24"/>
              </w:rPr>
              <w:t>招商实际到位资金</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66</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78.6</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26</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旅游接待人数</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万人次</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1000以上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1006</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27</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旅游综合收入</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50以上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51.4</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28</w:t>
            </w:r>
          </w:p>
        </w:tc>
        <w:tc>
          <w:tcPr>
            <w:tcW w:w="3832" w:type="dxa"/>
            <w:vAlign w:val="center"/>
          </w:tcPr>
          <w:p>
            <w:pPr>
              <w:widowControl/>
              <w:spacing w:line="0" w:lineRule="atLeast"/>
              <w:ind w:left="-53" w:leftChars="-25" w:right="-53" w:rightChars="-25"/>
              <w:jc w:val="left"/>
              <w:rPr>
                <w:rFonts w:eastAsia="方正仿宋_GBK"/>
                <w:kern w:val="0"/>
                <w:sz w:val="24"/>
                <w:shd w:val="clear" w:color="auto" w:fill="FFFFFF"/>
              </w:rPr>
            </w:pPr>
            <w:r>
              <w:rPr>
                <w:rFonts w:eastAsia="方正仿宋_GBK"/>
                <w:kern w:val="0"/>
                <w:sz w:val="24"/>
                <w:shd w:val="clear" w:color="auto" w:fill="FFFFFF"/>
              </w:rPr>
              <w:t>港口货运量</w:t>
            </w:r>
          </w:p>
        </w:tc>
        <w:tc>
          <w:tcPr>
            <w:tcW w:w="811"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万吨</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700</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720</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29</w:t>
            </w:r>
          </w:p>
        </w:tc>
        <w:tc>
          <w:tcPr>
            <w:tcW w:w="3832" w:type="dxa"/>
            <w:vAlign w:val="center"/>
          </w:tcPr>
          <w:p>
            <w:pPr>
              <w:spacing w:line="0" w:lineRule="atLeast"/>
              <w:ind w:left="-53" w:leftChars="-25" w:right="-53" w:rightChars="-25"/>
              <w:jc w:val="left"/>
              <w:rPr>
                <w:rFonts w:eastAsia="方正仿宋_GBK"/>
                <w:sz w:val="24"/>
              </w:rPr>
            </w:pPr>
            <w:r>
              <w:rPr>
                <w:rFonts w:hint="eastAsia" w:eastAsia="方正仿宋_GBK" w:cs="宋体"/>
                <w:kern w:val="0"/>
                <w:sz w:val="24"/>
              </w:rPr>
              <w:t>*</w:t>
            </w:r>
            <w:r>
              <w:rPr>
                <w:rFonts w:eastAsia="方正仿宋_GBK"/>
                <w:spacing w:val="-10"/>
                <w:sz w:val="24"/>
              </w:rPr>
              <w:t>客货运总周转量</w:t>
            </w:r>
            <w:r>
              <w:rPr>
                <w:rFonts w:eastAsia="方正仿宋_GBK"/>
                <w:kern w:val="0"/>
                <w:sz w:val="24"/>
              </w:rPr>
              <w:t>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10左右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60.35亿吨公里</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仿宋_GBK"/>
                <w:spacing w:val="-10"/>
                <w:sz w:val="24"/>
              </w:rPr>
            </w:pPr>
            <w:r>
              <w:rPr>
                <w:rFonts w:eastAsia="方正黑体_GBK"/>
                <w:spacing w:val="-10"/>
                <w:sz w:val="24"/>
              </w:rPr>
              <w:t>六、共享发展</w:t>
            </w:r>
          </w:p>
        </w:tc>
        <w:tc>
          <w:tcPr>
            <w:tcW w:w="1247" w:type="dxa"/>
            <w:vAlign w:val="center"/>
          </w:tcPr>
          <w:p>
            <w:pPr>
              <w:spacing w:line="0" w:lineRule="atLeast"/>
              <w:ind w:left="-53" w:leftChars="-25" w:right="-53" w:rightChars="-25"/>
              <w:rPr>
                <w:rFonts w:eastAsia="方正黑体_GBK"/>
                <w:spacing w:val="-10"/>
                <w:sz w:val="24"/>
              </w:rPr>
            </w:pPr>
          </w:p>
        </w:tc>
        <w:tc>
          <w:tcPr>
            <w:tcW w:w="1135" w:type="dxa"/>
            <w:vAlign w:val="center"/>
          </w:tcPr>
          <w:p>
            <w:pPr>
              <w:spacing w:line="0" w:lineRule="atLeast"/>
              <w:ind w:left="-53" w:leftChars="-25" w:right="-53" w:rightChars="-25"/>
              <w:rPr>
                <w:rFonts w:eastAsia="方正黑体_GBK"/>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30</w:t>
            </w:r>
          </w:p>
        </w:tc>
        <w:tc>
          <w:tcPr>
            <w:tcW w:w="3832" w:type="dxa"/>
            <w:vAlign w:val="center"/>
          </w:tcPr>
          <w:p>
            <w:pPr>
              <w:spacing w:line="0" w:lineRule="atLeast"/>
              <w:ind w:left="-53" w:leftChars="-25" w:right="-53" w:rightChars="-25"/>
              <w:rPr>
                <w:rFonts w:eastAsia="方正仿宋_GBK"/>
                <w:sz w:val="24"/>
              </w:rPr>
            </w:pPr>
            <w:r>
              <w:rPr>
                <w:rFonts w:eastAsia="方正仿宋_GBK"/>
                <w:spacing w:val="-20"/>
                <w:kern w:val="0"/>
                <w:sz w:val="24"/>
              </w:rPr>
              <w:t>全体居民人均可支配收入</w:t>
            </w:r>
            <w:r>
              <w:rPr>
                <w:rFonts w:eastAsia="方正仿宋_GBK"/>
                <w:kern w:val="0"/>
                <w:sz w:val="24"/>
              </w:rPr>
              <w:t>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7左右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28248元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31</w:t>
            </w:r>
          </w:p>
        </w:tc>
        <w:tc>
          <w:tcPr>
            <w:tcW w:w="3832" w:type="dxa"/>
            <w:vAlign w:val="center"/>
          </w:tcPr>
          <w:p>
            <w:pPr>
              <w:spacing w:line="0" w:lineRule="atLeast"/>
              <w:ind w:left="-53" w:leftChars="-25" w:right="-53" w:rightChars="-25"/>
              <w:rPr>
                <w:rFonts w:eastAsia="方正仿宋_GBK"/>
                <w:sz w:val="24"/>
              </w:rPr>
            </w:pPr>
            <w:r>
              <w:rPr>
                <w:rFonts w:eastAsia="方正仿宋_GBK"/>
                <w:spacing w:val="-20"/>
                <w:kern w:val="0"/>
                <w:sz w:val="24"/>
              </w:rPr>
              <w:t>农村居民人均可支配收入</w:t>
            </w:r>
            <w:r>
              <w:rPr>
                <w:rFonts w:eastAsia="方正仿宋_GBK"/>
                <w:kern w:val="0"/>
                <w:sz w:val="24"/>
              </w:rPr>
              <w:t>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7左右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17617元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32</w:t>
            </w:r>
          </w:p>
        </w:tc>
        <w:tc>
          <w:tcPr>
            <w:tcW w:w="3832" w:type="dxa"/>
            <w:vAlign w:val="center"/>
          </w:tcPr>
          <w:p>
            <w:pPr>
              <w:widowControl/>
              <w:spacing w:line="0" w:lineRule="atLeast"/>
              <w:ind w:left="-53" w:leftChars="-25" w:right="-53" w:rightChars="-25"/>
              <w:rPr>
                <w:rFonts w:eastAsia="方正仿宋_GBK"/>
                <w:sz w:val="24"/>
              </w:rPr>
            </w:pPr>
            <w:r>
              <w:rPr>
                <w:rFonts w:eastAsia="方正仿宋_GBK"/>
                <w:spacing w:val="-20"/>
                <w:kern w:val="0"/>
                <w:sz w:val="24"/>
              </w:rPr>
              <w:t>城镇居民人均可支配收入</w:t>
            </w:r>
            <w:r>
              <w:rPr>
                <w:rFonts w:eastAsia="方正仿宋_GBK"/>
                <w:kern w:val="0"/>
                <w:sz w:val="24"/>
              </w:rPr>
              <w:t>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6左右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40543元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33</w:t>
            </w:r>
          </w:p>
        </w:tc>
        <w:tc>
          <w:tcPr>
            <w:tcW w:w="3832" w:type="dxa"/>
            <w:vAlign w:val="center"/>
          </w:tcPr>
          <w:p>
            <w:pPr>
              <w:widowControl/>
              <w:spacing w:line="0" w:lineRule="atLeast"/>
              <w:ind w:left="-53" w:leftChars="-25" w:right="-53" w:rightChars="-25"/>
              <w:rPr>
                <w:rFonts w:eastAsia="方正仿宋_GBK"/>
                <w:sz w:val="24"/>
              </w:rPr>
            </w:pPr>
            <w:r>
              <w:rPr>
                <w:rFonts w:eastAsia="方正仿宋_GBK"/>
                <w:spacing w:val="-20"/>
                <w:kern w:val="0"/>
                <w:sz w:val="24"/>
              </w:rPr>
              <w:t>财政支出民生占比</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65左右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65以上</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34</w:t>
            </w:r>
          </w:p>
        </w:tc>
        <w:tc>
          <w:tcPr>
            <w:tcW w:w="3832" w:type="dxa"/>
            <w:vAlign w:val="center"/>
          </w:tcPr>
          <w:p>
            <w:pPr>
              <w:widowControl/>
              <w:spacing w:line="0" w:lineRule="atLeast"/>
              <w:ind w:left="-53" w:leftChars="-25" w:right="-53" w:rightChars="-25"/>
              <w:rPr>
                <w:rFonts w:eastAsia="方正仿宋_GBK"/>
                <w:sz w:val="24"/>
              </w:rPr>
            </w:pPr>
            <w:r>
              <w:rPr>
                <w:rFonts w:eastAsia="方正仿宋_GBK"/>
                <w:sz w:val="24"/>
              </w:rPr>
              <w:t>城镇新增就业人数</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人</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7500以上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8519</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35</w:t>
            </w:r>
          </w:p>
        </w:tc>
        <w:tc>
          <w:tcPr>
            <w:tcW w:w="3832" w:type="dxa"/>
            <w:vAlign w:val="center"/>
          </w:tcPr>
          <w:p>
            <w:pPr>
              <w:widowControl/>
              <w:spacing w:line="0" w:lineRule="atLeast"/>
              <w:ind w:left="-53" w:leftChars="-25" w:right="-53" w:rightChars="-25"/>
              <w:rPr>
                <w:rFonts w:eastAsia="方正仿宋_GBK"/>
                <w:sz w:val="24"/>
              </w:rPr>
            </w:pPr>
            <w:r>
              <w:rPr>
                <w:rFonts w:eastAsia="方正仿宋_GBK"/>
                <w:sz w:val="24"/>
              </w:rPr>
              <w:t>城镇调查失业率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5.5以内</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36</w:t>
            </w:r>
          </w:p>
        </w:tc>
        <w:tc>
          <w:tcPr>
            <w:tcW w:w="3832" w:type="dxa"/>
            <w:vAlign w:val="center"/>
          </w:tcPr>
          <w:p>
            <w:pPr>
              <w:widowControl/>
              <w:spacing w:line="0" w:lineRule="atLeast"/>
              <w:ind w:left="-53" w:leftChars="-25" w:right="-53" w:rightChars="-25"/>
              <w:rPr>
                <w:rFonts w:eastAsia="方正仿宋_GBK"/>
                <w:sz w:val="24"/>
              </w:rPr>
            </w:pPr>
            <w:r>
              <w:rPr>
                <w:rFonts w:eastAsia="方正仿宋_GBK"/>
                <w:spacing w:val="-20"/>
                <w:kern w:val="0"/>
                <w:sz w:val="24"/>
              </w:rPr>
              <w:t>减少贫困人口</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人</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200以上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302</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37</w:t>
            </w:r>
          </w:p>
        </w:tc>
        <w:tc>
          <w:tcPr>
            <w:tcW w:w="3832" w:type="dxa"/>
            <w:vAlign w:val="center"/>
          </w:tcPr>
          <w:p>
            <w:pPr>
              <w:widowControl/>
              <w:spacing w:line="0" w:lineRule="atLeast"/>
              <w:ind w:left="-53" w:leftChars="-25" w:right="-53" w:rightChars="-25"/>
              <w:rPr>
                <w:rFonts w:eastAsia="方正仿宋_GBK"/>
                <w:spacing w:val="-20"/>
                <w:kern w:val="0"/>
                <w:sz w:val="24"/>
              </w:rPr>
            </w:pPr>
            <w:r>
              <w:rPr>
                <w:rFonts w:eastAsia="方正仿宋_GBK"/>
                <w:sz w:val="24"/>
              </w:rPr>
              <w:t>城市居民慢行健身参与率</w:t>
            </w:r>
          </w:p>
        </w:tc>
        <w:tc>
          <w:tcPr>
            <w:tcW w:w="811"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85以上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88</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38</w:t>
            </w:r>
          </w:p>
        </w:tc>
        <w:tc>
          <w:tcPr>
            <w:tcW w:w="3832" w:type="dxa"/>
            <w:vAlign w:val="center"/>
          </w:tcPr>
          <w:p>
            <w:pPr>
              <w:widowControl/>
              <w:spacing w:line="0" w:lineRule="atLeast"/>
              <w:ind w:left="-53" w:leftChars="-25" w:right="-53" w:rightChars="-25"/>
              <w:rPr>
                <w:rFonts w:eastAsia="方正仿宋_GBK"/>
                <w:spacing w:val="-20"/>
                <w:kern w:val="0"/>
                <w:sz w:val="24"/>
              </w:rPr>
            </w:pPr>
            <w:r>
              <w:rPr>
                <w:rFonts w:eastAsia="方正仿宋_GBK"/>
                <w:spacing w:val="-20"/>
                <w:kern w:val="0"/>
                <w:sz w:val="24"/>
              </w:rPr>
              <w:t>居民消费价格指数</w:t>
            </w:r>
          </w:p>
        </w:tc>
        <w:tc>
          <w:tcPr>
            <w:tcW w:w="811"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103.5以内</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103.2</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bl>
    <w:p>
      <w:pPr>
        <w:spacing w:line="560" w:lineRule="exact"/>
        <w:ind w:firstLine="520" w:firstLineChars="200"/>
        <w:rPr>
          <w:rFonts w:eastAsia="方正仿宋_GBK"/>
          <w:spacing w:val="-10"/>
          <w:sz w:val="28"/>
          <w:szCs w:val="28"/>
        </w:rPr>
      </w:pPr>
      <w:r>
        <w:rPr>
          <w:rFonts w:eastAsia="黑体"/>
          <w:spacing w:val="-10"/>
          <w:sz w:val="28"/>
          <w:szCs w:val="28"/>
        </w:rPr>
        <w:t>注</w:t>
      </w:r>
      <w:r>
        <w:rPr>
          <w:rFonts w:eastAsia="方正小标宋_GBK"/>
          <w:spacing w:val="-10"/>
          <w:sz w:val="28"/>
          <w:szCs w:val="28"/>
        </w:rPr>
        <w:t>：</w:t>
      </w:r>
      <w:r>
        <w:rPr>
          <w:rFonts w:eastAsia="方正仿宋_GBK"/>
          <w:spacing w:val="-10"/>
          <w:sz w:val="28"/>
          <w:szCs w:val="28"/>
        </w:rPr>
        <w:t>地区生产总值及各行业增加值增速均为可比价，</w:t>
      </w:r>
      <w:r>
        <w:rPr>
          <w:rFonts w:hint="eastAsia" w:eastAsia="方正仿宋_GBK"/>
          <w:spacing w:val="-10"/>
          <w:sz w:val="28"/>
          <w:szCs w:val="28"/>
        </w:rPr>
        <w:t>“</w:t>
      </w:r>
      <w:r>
        <w:rPr>
          <w:rFonts w:eastAsia="方正仿宋_GBK"/>
          <w:spacing w:val="-10"/>
          <w:sz w:val="24"/>
        </w:rPr>
        <w:t>#</w:t>
      </w:r>
      <w:r>
        <w:rPr>
          <w:rFonts w:hint="eastAsia" w:eastAsia="方正仿宋_GBK"/>
          <w:spacing w:val="-10"/>
          <w:sz w:val="28"/>
          <w:szCs w:val="28"/>
        </w:rPr>
        <w:t>”</w:t>
      </w:r>
      <w:r>
        <w:rPr>
          <w:rFonts w:eastAsia="方正仿宋_GBK"/>
          <w:spacing w:val="-10"/>
          <w:sz w:val="28"/>
          <w:szCs w:val="28"/>
        </w:rPr>
        <w:t>表示其中</w:t>
      </w:r>
      <w:r>
        <w:rPr>
          <w:rFonts w:hint="eastAsia" w:eastAsia="方正仿宋_GBK"/>
          <w:spacing w:val="-10"/>
          <w:sz w:val="28"/>
          <w:szCs w:val="28"/>
        </w:rPr>
        <w:t>，“</w:t>
      </w:r>
      <w:r>
        <w:rPr>
          <w:rFonts w:hint="eastAsia" w:eastAsia="方正仿宋_GBK" w:cs="宋体"/>
          <w:kern w:val="0"/>
          <w:sz w:val="24"/>
        </w:rPr>
        <w:t>*</w:t>
      </w:r>
      <w:r>
        <w:rPr>
          <w:rFonts w:hint="eastAsia" w:eastAsia="方正仿宋_GBK"/>
          <w:spacing w:val="-10"/>
          <w:sz w:val="28"/>
          <w:szCs w:val="28"/>
        </w:rPr>
        <w:t>”代表未完成</w:t>
      </w:r>
      <w:r>
        <w:rPr>
          <w:rFonts w:eastAsia="方正仿宋_GBK"/>
          <w:spacing w:val="-10"/>
          <w:sz w:val="28"/>
          <w:szCs w:val="28"/>
        </w:rPr>
        <w:t>。</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县十七届人大四次会议批准的《忠县2020年国民经济和社会发展计划》确立的38项指标体系中：</w:t>
      </w:r>
      <w:r>
        <w:rPr>
          <w:rStyle w:val="10"/>
          <w:rFonts w:hint="eastAsia" w:eastAsia="方正仿宋_GBK"/>
          <w:b w:val="0"/>
          <w:bCs/>
          <w:sz w:val="32"/>
          <w:szCs w:val="32"/>
        </w:rPr>
        <w:t>一是</w:t>
      </w:r>
      <w:r>
        <w:rPr>
          <w:rStyle w:val="10"/>
          <w:rFonts w:hint="eastAsia" w:eastAsia="方正仿宋_GBK"/>
          <w:b w:val="0"/>
          <w:sz w:val="32"/>
          <w:szCs w:val="32"/>
        </w:rPr>
        <w:t>重点项目完成投资额等14项指标超额完成目标，特别是在统筹疫情防控和经济社会发展背景下，重点项目完成投资额超额完成，总部经济结算额超年初目标124.8亿元，招商实际到位资金超年初目标12.6亿元，城区空气优良天数达357天，全体居民人均可支配收入增长8.1%，城镇新增就业人数超年初目标1019人，减少贫困人口302人。</w:t>
      </w:r>
      <w:r>
        <w:rPr>
          <w:rStyle w:val="10"/>
          <w:rFonts w:hint="eastAsia" w:eastAsia="方正仿宋_GBK"/>
          <w:b w:val="0"/>
          <w:bCs/>
          <w:sz w:val="32"/>
          <w:szCs w:val="32"/>
        </w:rPr>
        <w:t>二是</w:t>
      </w:r>
      <w:r>
        <w:rPr>
          <w:rStyle w:val="10"/>
          <w:rFonts w:hint="eastAsia" w:eastAsia="方正仿宋_GBK"/>
          <w:b w:val="0"/>
          <w:sz w:val="32"/>
          <w:szCs w:val="32"/>
        </w:rPr>
        <w:t>战略性新兴制造业增加值增速等15项指标完成目标，战略性新兴制造业增加值增速10.5%，城镇居民人均可支配收入增长5.7%，财政支出民生占比65%以上，居民消费价格指数涨幅3.2%。</w:t>
      </w:r>
      <w:r>
        <w:rPr>
          <w:rStyle w:val="10"/>
          <w:rFonts w:hint="eastAsia" w:eastAsia="方正仿宋_GBK"/>
          <w:b w:val="0"/>
          <w:bCs/>
          <w:sz w:val="32"/>
          <w:szCs w:val="32"/>
        </w:rPr>
        <w:t>三是</w:t>
      </w:r>
      <w:r>
        <w:rPr>
          <w:rStyle w:val="10"/>
          <w:rFonts w:hint="eastAsia" w:eastAsia="方正仿宋_GBK"/>
          <w:b w:val="0"/>
          <w:sz w:val="32"/>
          <w:szCs w:val="32"/>
        </w:rPr>
        <w:t>地区生产总值增速等9项指标低于预期，主要是疫情导致产业链供应链受阻、市场信心不足、消费抑制所致。虽然主要经济指标完成情况低于预期，但地区生产总值增速居渝东北第1位。</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目前，忠县正处在向高质量发展转变的关键阶段，在面临新机遇的同时，也存在不少困难和挑战。</w:t>
      </w:r>
      <w:r>
        <w:rPr>
          <w:rStyle w:val="10"/>
          <w:rFonts w:hint="eastAsia" w:eastAsia="方正仿宋_GBK"/>
          <w:b w:val="0"/>
          <w:bCs/>
          <w:sz w:val="32"/>
          <w:szCs w:val="32"/>
        </w:rPr>
        <w:t>一是</w:t>
      </w:r>
      <w:r>
        <w:rPr>
          <w:rStyle w:val="10"/>
          <w:rFonts w:hint="eastAsia" w:eastAsia="方正仿宋_GBK"/>
          <w:b w:val="0"/>
          <w:sz w:val="32"/>
          <w:szCs w:val="32"/>
        </w:rPr>
        <w:t>经济总量不大、产业结构不优，“四上”企业数量较少，人均地区生产总值、全体居民人均可支配收入等指标还未达到全市平均水平；</w:t>
      </w:r>
      <w:r>
        <w:rPr>
          <w:rStyle w:val="10"/>
          <w:rFonts w:hint="eastAsia" w:eastAsia="方正仿宋_GBK"/>
          <w:b w:val="0"/>
          <w:bCs/>
          <w:sz w:val="32"/>
          <w:szCs w:val="32"/>
        </w:rPr>
        <w:t>二是</w:t>
      </w:r>
      <w:r>
        <w:rPr>
          <w:rStyle w:val="10"/>
          <w:rFonts w:hint="eastAsia" w:eastAsia="方正仿宋_GBK"/>
          <w:b w:val="0"/>
          <w:sz w:val="32"/>
          <w:szCs w:val="32"/>
        </w:rPr>
        <w:t>区位优势不明显，城市集聚能力不强，重大交通基础设施缺乏；</w:t>
      </w:r>
      <w:r>
        <w:rPr>
          <w:rStyle w:val="10"/>
          <w:rFonts w:hint="eastAsia" w:eastAsia="方正仿宋_GBK"/>
          <w:b w:val="0"/>
          <w:bCs/>
          <w:sz w:val="32"/>
          <w:szCs w:val="32"/>
        </w:rPr>
        <w:t>三是</w:t>
      </w:r>
      <w:r>
        <w:rPr>
          <w:rStyle w:val="10"/>
          <w:rFonts w:hint="eastAsia" w:eastAsia="方正仿宋_GBK"/>
          <w:b w:val="0"/>
          <w:sz w:val="32"/>
          <w:szCs w:val="32"/>
        </w:rPr>
        <w:t>城乡发展不平衡，教育、医疗、文化、体育等公共服务水平与群众期盼还有差距。对于发展中的问题，我们将高度重视，采取有效措施加以解决。</w:t>
      </w:r>
    </w:p>
    <w:p>
      <w:pPr>
        <w:spacing w:line="560" w:lineRule="exact"/>
        <w:ind w:firstLine="640" w:firstLineChars="200"/>
        <w:rPr>
          <w:rStyle w:val="10"/>
          <w:rFonts w:eastAsia="方正仿宋_GBK"/>
          <w:b w:val="0"/>
          <w:sz w:val="32"/>
          <w:szCs w:val="32"/>
        </w:rPr>
      </w:pPr>
      <w:r>
        <w:rPr>
          <w:rStyle w:val="10"/>
          <w:rFonts w:hint="eastAsia" w:eastAsia="方正黑体_GBK" w:cs="方正黑体_GBK"/>
          <w:b w:val="0"/>
          <w:sz w:val="32"/>
          <w:szCs w:val="32"/>
        </w:rPr>
        <w:t>二、</w:t>
      </w:r>
      <w:r>
        <w:rPr>
          <w:rStyle w:val="10"/>
          <w:rFonts w:eastAsia="方正黑体_GBK"/>
          <w:b w:val="0"/>
          <w:sz w:val="32"/>
          <w:szCs w:val="32"/>
        </w:rPr>
        <w:t>2021</w:t>
      </w:r>
      <w:r>
        <w:rPr>
          <w:rStyle w:val="10"/>
          <w:rFonts w:hint="eastAsia" w:eastAsia="方正黑体_GBK" w:cs="方正黑体_GBK"/>
          <w:b w:val="0"/>
          <w:sz w:val="32"/>
          <w:szCs w:val="32"/>
        </w:rPr>
        <w:t>年国民经济和社会发展计划目标</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（一）总体要求。</w:t>
      </w:r>
      <w:r>
        <w:rPr>
          <w:rStyle w:val="10"/>
          <w:rFonts w:hint="eastAsia" w:eastAsia="方正仿宋_GBK"/>
          <w:b w:val="0"/>
          <w:sz w:val="32"/>
          <w:szCs w:val="32"/>
        </w:rPr>
        <w:t>全面贯彻党的十九大、</w:t>
      </w:r>
      <w:r>
        <w:rPr>
          <w:rStyle w:val="10"/>
          <w:rFonts w:hint="eastAsia" w:eastAsia="方正仿宋_GBK"/>
          <w:b w:val="0"/>
          <w:sz w:val="32"/>
          <w:szCs w:val="32"/>
          <w:lang w:eastAsia="zh-CN"/>
        </w:rPr>
        <w:t>十九届二中、三中、四中、五中全会</w:t>
      </w:r>
      <w:r>
        <w:rPr>
          <w:rStyle w:val="10"/>
          <w:rFonts w:hint="eastAsia" w:eastAsia="方正仿宋_GBK"/>
          <w:b w:val="0"/>
          <w:sz w:val="32"/>
          <w:szCs w:val="32"/>
        </w:rPr>
        <w:t>和市委五届九次全会精神，贯彻落实中央经济工作会议和全市经济工作会议精神，</w:t>
      </w:r>
      <w:r>
        <w:rPr>
          <w:rStyle w:val="10"/>
          <w:rFonts w:hint="eastAsia" w:eastAsia="方正仿宋_GBK"/>
          <w:b w:val="0"/>
          <w:sz w:val="32"/>
          <w:szCs w:val="32"/>
          <w:lang w:eastAsia="zh-CN"/>
        </w:rPr>
        <w:t>增强“四个意识”、坚定“四个自信”、做到“两个维护”</w:t>
      </w:r>
      <w:r>
        <w:rPr>
          <w:rStyle w:val="10"/>
          <w:rFonts w:hint="eastAsia" w:eastAsia="方正仿宋_GBK"/>
          <w:b w:val="0"/>
          <w:sz w:val="32"/>
          <w:szCs w:val="32"/>
        </w:rPr>
        <w:t>，进一步落实习近平总书记对重庆提出的营造良好政治生态，坚持“两点”定位、“两地”“两高”目标，发挥“三个作用”和推动成渝地区双城经济圈建设等重要指示要求，准确把握新发展阶段，深入践行新发展理念，积极融入新发展格局，以推动高质量发展为主题，以深化供给侧结构性改革为主线，以改革创新为根本动力，以满足人民日益增长的美好生活需要为根本目的，坚持系统观念，巩固拓展疫情防控和经济社会发展成果，</w:t>
      </w:r>
      <w:r>
        <w:rPr>
          <w:rStyle w:val="10"/>
          <w:rFonts w:hint="eastAsia" w:eastAsia="方正仿宋_GBK"/>
          <w:b w:val="0"/>
          <w:sz w:val="32"/>
          <w:szCs w:val="32"/>
          <w:lang w:eastAsia="zh-CN"/>
        </w:rPr>
        <w:t>更好统筹发展和安全</w:t>
      </w:r>
      <w:r>
        <w:rPr>
          <w:rStyle w:val="10"/>
          <w:rFonts w:hint="eastAsia" w:eastAsia="方正仿宋_GBK"/>
          <w:b w:val="0"/>
          <w:sz w:val="32"/>
          <w:szCs w:val="32"/>
        </w:rPr>
        <w:t>，继续做好“六稳”工作、落实“六保”任务，科学精准落实宏观政策，努力保持经济运行在合理区间，坚持扩大内需战略，强化科技支撑，扩大高水平对外开放，提速打造“三峡库心·长江盆景”，加快建设“一地一城三区”，实现经济行稳致远、社会和谐安定，确保“十四五”开好局，以优异成绩庆祝中国共产党成立100周年。</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（二）主要发展目标。</w:t>
      </w:r>
      <w:r>
        <w:rPr>
          <w:rStyle w:val="10"/>
          <w:rFonts w:hint="eastAsia" w:eastAsia="方正仿宋_GBK"/>
          <w:b w:val="0"/>
          <w:sz w:val="32"/>
          <w:szCs w:val="32"/>
        </w:rPr>
        <w:t>按照县委十四届十二次全会精神，以及全县经济工作会议要求，结合“十四五”规划目标任务，提出2021年全县经济社会发展主要预期目标。</w:t>
      </w:r>
    </w:p>
    <w:p>
      <w:pPr>
        <w:spacing w:line="560" w:lineRule="exact"/>
        <w:jc w:val="center"/>
        <w:rPr>
          <w:rFonts w:eastAsia="方正仿宋_GBK"/>
          <w:sz w:val="32"/>
          <w:szCs w:val="32"/>
        </w:rPr>
      </w:pPr>
      <w:r>
        <w:rPr>
          <w:rFonts w:eastAsia="方正黑体_GBK"/>
          <w:spacing w:val="-10"/>
          <w:sz w:val="32"/>
          <w:szCs w:val="32"/>
        </w:rPr>
        <w:t>表2   202</w:t>
      </w:r>
      <w:r>
        <w:rPr>
          <w:rFonts w:hint="eastAsia" w:eastAsia="方正黑体_GBK"/>
          <w:spacing w:val="-10"/>
          <w:sz w:val="32"/>
          <w:szCs w:val="32"/>
        </w:rPr>
        <w:t>1</w:t>
      </w:r>
      <w:r>
        <w:rPr>
          <w:rFonts w:eastAsia="方正黑体_GBK"/>
          <w:spacing w:val="-10"/>
          <w:sz w:val="32"/>
          <w:szCs w:val="32"/>
        </w:rPr>
        <w:t>年国民经济和社会发展主要指标计划表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494"/>
        <w:gridCol w:w="163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blHeader/>
        </w:trPr>
        <w:tc>
          <w:tcPr>
            <w:tcW w:w="971" w:type="dxa"/>
            <w:vAlign w:val="center"/>
          </w:tcPr>
          <w:p>
            <w:pPr>
              <w:spacing w:line="0" w:lineRule="atLeast"/>
              <w:jc w:val="center"/>
              <w:rPr>
                <w:rFonts w:eastAsia="方正楷体_GBK"/>
                <w:sz w:val="28"/>
                <w:szCs w:val="28"/>
              </w:rPr>
            </w:pPr>
            <w:r>
              <w:rPr>
                <w:rFonts w:eastAsia="方正楷体_GBK"/>
                <w:sz w:val="28"/>
                <w:szCs w:val="28"/>
              </w:rPr>
              <w:t>序号</w:t>
            </w:r>
          </w:p>
        </w:tc>
        <w:tc>
          <w:tcPr>
            <w:tcW w:w="4494" w:type="dxa"/>
            <w:vAlign w:val="center"/>
          </w:tcPr>
          <w:p>
            <w:pPr>
              <w:spacing w:line="0" w:lineRule="atLeast"/>
              <w:jc w:val="center"/>
              <w:rPr>
                <w:rFonts w:eastAsia="方正楷体_GBK"/>
                <w:sz w:val="28"/>
                <w:szCs w:val="28"/>
              </w:rPr>
            </w:pPr>
            <w:r>
              <w:rPr>
                <w:rFonts w:eastAsia="方正楷体_GBK"/>
                <w:sz w:val="28"/>
                <w:szCs w:val="28"/>
              </w:rPr>
              <w:t>指标名称</w:t>
            </w:r>
          </w:p>
        </w:tc>
        <w:tc>
          <w:tcPr>
            <w:tcW w:w="1634" w:type="dxa"/>
            <w:vAlign w:val="center"/>
          </w:tcPr>
          <w:p>
            <w:pPr>
              <w:spacing w:line="0" w:lineRule="atLeast"/>
              <w:jc w:val="center"/>
              <w:rPr>
                <w:rFonts w:eastAsia="方正楷体_GBK"/>
                <w:sz w:val="28"/>
                <w:szCs w:val="28"/>
              </w:rPr>
            </w:pPr>
            <w:r>
              <w:rPr>
                <w:rFonts w:eastAsia="方正楷体_GBK"/>
                <w:sz w:val="28"/>
                <w:szCs w:val="28"/>
              </w:rPr>
              <w:t>单位</w:t>
            </w:r>
          </w:p>
        </w:tc>
        <w:tc>
          <w:tcPr>
            <w:tcW w:w="1861" w:type="dxa"/>
            <w:vAlign w:val="center"/>
          </w:tcPr>
          <w:p>
            <w:pPr>
              <w:spacing w:line="0" w:lineRule="atLeast"/>
              <w:jc w:val="center"/>
              <w:rPr>
                <w:rFonts w:eastAsia="方正楷体_GBK"/>
                <w:sz w:val="28"/>
                <w:szCs w:val="28"/>
              </w:rPr>
            </w:pPr>
            <w:r>
              <w:rPr>
                <w:rFonts w:eastAsia="方正楷体_GBK"/>
                <w:sz w:val="28"/>
                <w:szCs w:val="2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trPr>
        <w:tc>
          <w:tcPr>
            <w:tcW w:w="8960" w:type="dxa"/>
            <w:gridSpan w:val="4"/>
            <w:vAlign w:val="center"/>
          </w:tcPr>
          <w:p>
            <w:pPr>
              <w:spacing w:line="0" w:lineRule="atLeast"/>
              <w:jc w:val="left"/>
              <w:rPr>
                <w:rFonts w:eastAsia="方正黑体_GBK"/>
                <w:sz w:val="24"/>
              </w:rPr>
            </w:pPr>
            <w:r>
              <w:rPr>
                <w:rFonts w:eastAsia="方正黑体_GBK"/>
                <w:sz w:val="24"/>
              </w:rPr>
              <w:t>一、</w:t>
            </w:r>
            <w:r>
              <w:rPr>
                <w:rFonts w:hint="eastAsia" w:eastAsia="方正黑体_GBK"/>
                <w:sz w:val="24"/>
              </w:rPr>
              <w:t>综合经济实力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p>
        </w:tc>
        <w:tc>
          <w:tcPr>
            <w:tcW w:w="4494" w:type="dxa"/>
            <w:vAlign w:val="center"/>
          </w:tcPr>
          <w:p>
            <w:pPr>
              <w:spacing w:line="0" w:lineRule="atLeast"/>
              <w:rPr>
                <w:rFonts w:eastAsia="方正仿宋_GBK"/>
                <w:sz w:val="24"/>
              </w:rPr>
            </w:pPr>
            <w:r>
              <w:rPr>
                <w:rFonts w:eastAsia="方正仿宋_GBK"/>
                <w:kern w:val="0"/>
                <w:sz w:val="24"/>
              </w:rPr>
              <w:t>地区生产总值（GDP）增速</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8左右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2</w:t>
            </w:r>
          </w:p>
        </w:tc>
        <w:tc>
          <w:tcPr>
            <w:tcW w:w="4494" w:type="dxa"/>
            <w:vAlign w:val="center"/>
          </w:tcPr>
          <w:p>
            <w:pPr>
              <w:spacing w:line="0" w:lineRule="atLeast"/>
              <w:rPr>
                <w:rFonts w:eastAsia="方正仿宋_GBK"/>
                <w:sz w:val="24"/>
              </w:rPr>
            </w:pPr>
            <w:r>
              <w:rPr>
                <w:rFonts w:hint="eastAsia" w:eastAsia="方正仿宋_GBK"/>
                <w:sz w:val="24"/>
              </w:rPr>
              <w:t>固定资产投资增速</w:t>
            </w:r>
          </w:p>
        </w:tc>
        <w:tc>
          <w:tcPr>
            <w:tcW w:w="1634" w:type="dxa"/>
            <w:vAlign w:val="center"/>
          </w:tcPr>
          <w:p>
            <w:pPr>
              <w:spacing w:line="0" w:lineRule="atLeast"/>
              <w:jc w:val="center"/>
              <w:rPr>
                <w:rFonts w:eastAsia="方正仿宋_GBK"/>
                <w:sz w:val="24"/>
              </w:rPr>
            </w:pPr>
            <w:r>
              <w:rPr>
                <w:rFonts w:hint="eastAsia" w:eastAsia="方正仿宋_GBK"/>
                <w:sz w:val="24"/>
              </w:rPr>
              <w:t>%</w:t>
            </w:r>
          </w:p>
        </w:tc>
        <w:tc>
          <w:tcPr>
            <w:tcW w:w="1861" w:type="dxa"/>
            <w:vAlign w:val="center"/>
          </w:tcPr>
          <w:p>
            <w:pPr>
              <w:spacing w:line="0" w:lineRule="atLeast"/>
              <w:jc w:val="center"/>
              <w:rPr>
                <w:rFonts w:eastAsia="方正仿宋_GBK"/>
                <w:sz w:val="24"/>
              </w:rPr>
            </w:pPr>
            <w:r>
              <w:rPr>
                <w:rFonts w:hint="eastAsia" w:eastAsia="方正仿宋_GBK"/>
                <w:sz w:val="24"/>
              </w:rPr>
              <w:t>3左右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3</w:t>
            </w:r>
          </w:p>
        </w:tc>
        <w:tc>
          <w:tcPr>
            <w:tcW w:w="4494" w:type="dxa"/>
            <w:vAlign w:val="center"/>
          </w:tcPr>
          <w:p>
            <w:pPr>
              <w:spacing w:line="0" w:lineRule="atLeast"/>
              <w:rPr>
                <w:rFonts w:eastAsia="方正仿宋_GBK"/>
                <w:sz w:val="24"/>
              </w:rPr>
            </w:pPr>
            <w:r>
              <w:rPr>
                <w:rFonts w:hint="eastAsia" w:eastAsia="方正仿宋_GBK"/>
                <w:sz w:val="24"/>
              </w:rPr>
              <w:t>一般公共预算收入增速</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9左右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4</w:t>
            </w:r>
          </w:p>
        </w:tc>
        <w:tc>
          <w:tcPr>
            <w:tcW w:w="4494" w:type="dxa"/>
            <w:vAlign w:val="center"/>
          </w:tcPr>
          <w:p>
            <w:pPr>
              <w:spacing w:line="0" w:lineRule="atLeast"/>
              <w:rPr>
                <w:rFonts w:eastAsia="方正仿宋_GBK"/>
                <w:sz w:val="24"/>
              </w:rPr>
            </w:pPr>
            <w:r>
              <w:rPr>
                <w:rFonts w:hint="eastAsia" w:eastAsia="方正仿宋_GBK"/>
                <w:sz w:val="24"/>
              </w:rPr>
              <w:t>民营经济占地区生产总值比重</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5</w:t>
            </w:r>
          </w:p>
        </w:tc>
        <w:tc>
          <w:tcPr>
            <w:tcW w:w="4494" w:type="dxa"/>
            <w:vAlign w:val="center"/>
          </w:tcPr>
          <w:p>
            <w:pPr>
              <w:spacing w:line="0" w:lineRule="atLeast"/>
              <w:rPr>
                <w:rFonts w:eastAsia="方正仿宋_GBK"/>
                <w:sz w:val="24"/>
              </w:rPr>
            </w:pPr>
            <w:r>
              <w:rPr>
                <w:rFonts w:hint="eastAsia" w:eastAsia="方正仿宋_GBK"/>
                <w:sz w:val="24"/>
              </w:rPr>
              <w:t>全员劳动生产率</w:t>
            </w:r>
          </w:p>
        </w:tc>
        <w:tc>
          <w:tcPr>
            <w:tcW w:w="1634" w:type="dxa"/>
            <w:vAlign w:val="center"/>
          </w:tcPr>
          <w:p>
            <w:pPr>
              <w:spacing w:line="0" w:lineRule="atLeast"/>
              <w:jc w:val="center"/>
              <w:rPr>
                <w:rFonts w:eastAsia="方正仿宋_GBK"/>
                <w:sz w:val="24"/>
              </w:rPr>
            </w:pPr>
            <w:r>
              <w:rPr>
                <w:rFonts w:hint="eastAsia" w:eastAsia="方正仿宋_GBK"/>
                <w:sz w:val="24"/>
              </w:rPr>
              <w:t>万元/人</w:t>
            </w:r>
          </w:p>
        </w:tc>
        <w:tc>
          <w:tcPr>
            <w:tcW w:w="1861" w:type="dxa"/>
            <w:vAlign w:val="center"/>
          </w:tcPr>
          <w:p>
            <w:pPr>
              <w:spacing w:line="0" w:lineRule="atLeast"/>
              <w:jc w:val="center"/>
              <w:rPr>
                <w:rFonts w:eastAsia="方正仿宋_GBK"/>
                <w:sz w:val="24"/>
              </w:rPr>
            </w:pPr>
            <w:r>
              <w:rPr>
                <w:rFonts w:hint="eastAsia" w:eastAsia="方正仿宋_GBK"/>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仿宋_GBK"/>
                <w:spacing w:val="-10"/>
                <w:sz w:val="24"/>
              </w:rPr>
            </w:pPr>
            <w:r>
              <w:rPr>
                <w:rFonts w:eastAsia="方正黑体_GBK"/>
                <w:spacing w:val="-10"/>
                <w:sz w:val="24"/>
              </w:rPr>
              <w:t>二、</w:t>
            </w:r>
            <w:r>
              <w:rPr>
                <w:rFonts w:hint="eastAsia" w:eastAsia="方正黑体_GBK"/>
                <w:spacing w:val="-10"/>
                <w:sz w:val="24"/>
              </w:rPr>
              <w:t>特色产业基地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6</w:t>
            </w:r>
          </w:p>
        </w:tc>
        <w:tc>
          <w:tcPr>
            <w:tcW w:w="4494" w:type="dxa"/>
            <w:vAlign w:val="center"/>
          </w:tcPr>
          <w:p>
            <w:pPr>
              <w:spacing w:line="0" w:lineRule="atLeast"/>
              <w:jc w:val="left"/>
              <w:rPr>
                <w:rFonts w:eastAsia="方正仿宋_GBK"/>
                <w:sz w:val="24"/>
              </w:rPr>
            </w:pPr>
            <w:r>
              <w:rPr>
                <w:rFonts w:eastAsia="方正仿宋_GBK"/>
                <w:kern w:val="0"/>
                <w:sz w:val="24"/>
              </w:rPr>
              <w:t>战略性新兴制造业增加值增速</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7</w:t>
            </w:r>
          </w:p>
        </w:tc>
        <w:tc>
          <w:tcPr>
            <w:tcW w:w="4494" w:type="dxa"/>
            <w:vAlign w:val="center"/>
          </w:tcPr>
          <w:p>
            <w:pPr>
              <w:widowControl/>
              <w:spacing w:line="0" w:lineRule="atLeast"/>
              <w:jc w:val="left"/>
              <w:rPr>
                <w:rFonts w:eastAsia="方正仿宋_GBK"/>
                <w:sz w:val="24"/>
              </w:rPr>
            </w:pPr>
            <w:r>
              <w:rPr>
                <w:rFonts w:hint="eastAsia" w:eastAsia="方正仿宋_GBK"/>
                <w:sz w:val="24"/>
              </w:rPr>
              <w:t>农产品加工产值与农业产值比</w:t>
            </w:r>
          </w:p>
        </w:tc>
        <w:tc>
          <w:tcPr>
            <w:tcW w:w="1634" w:type="dxa"/>
            <w:vAlign w:val="center"/>
          </w:tcPr>
          <w:p>
            <w:pPr>
              <w:spacing w:line="0" w:lineRule="atLeast"/>
              <w:jc w:val="center"/>
              <w:rPr>
                <w:rFonts w:eastAsia="方正仿宋_GBK"/>
                <w:sz w:val="24"/>
              </w:rPr>
            </w:pPr>
            <w:r>
              <w:rPr>
                <w:rFonts w:hint="eastAsia" w:eastAsia="方正仿宋_GBK"/>
                <w:sz w:val="24"/>
              </w:rPr>
              <w:t>—</w:t>
            </w:r>
          </w:p>
        </w:tc>
        <w:tc>
          <w:tcPr>
            <w:tcW w:w="1861" w:type="dxa"/>
            <w:vAlign w:val="center"/>
          </w:tcPr>
          <w:p>
            <w:pPr>
              <w:spacing w:line="0" w:lineRule="atLeast"/>
              <w:jc w:val="center"/>
              <w:rPr>
                <w:rFonts w:eastAsia="方正仿宋_GBK"/>
                <w:sz w:val="24"/>
              </w:rPr>
            </w:pPr>
            <w:r>
              <w:rPr>
                <w:rFonts w:hint="eastAsia" w:eastAsia="方正仿宋_GBK"/>
                <w:sz w:val="24"/>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8</w:t>
            </w:r>
          </w:p>
        </w:tc>
        <w:tc>
          <w:tcPr>
            <w:tcW w:w="4494" w:type="dxa"/>
            <w:vAlign w:val="center"/>
          </w:tcPr>
          <w:p>
            <w:pPr>
              <w:widowControl/>
              <w:spacing w:line="0" w:lineRule="atLeast"/>
              <w:jc w:val="left"/>
              <w:rPr>
                <w:rFonts w:eastAsia="方正仿宋_GBK"/>
                <w:sz w:val="24"/>
              </w:rPr>
            </w:pPr>
            <w:r>
              <w:rPr>
                <w:rFonts w:hint="eastAsia" w:eastAsia="方正仿宋_GBK"/>
                <w:sz w:val="24"/>
              </w:rPr>
              <w:t>社会消费品零售总额增速</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8左右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9</w:t>
            </w:r>
          </w:p>
        </w:tc>
        <w:tc>
          <w:tcPr>
            <w:tcW w:w="4494" w:type="dxa"/>
            <w:vAlign w:val="center"/>
          </w:tcPr>
          <w:p>
            <w:pPr>
              <w:widowControl/>
              <w:spacing w:line="0" w:lineRule="atLeast"/>
              <w:jc w:val="left"/>
              <w:rPr>
                <w:rFonts w:eastAsia="方正仿宋_GBK"/>
                <w:sz w:val="24"/>
              </w:rPr>
            </w:pPr>
            <w:r>
              <w:rPr>
                <w:rFonts w:hint="eastAsia" w:eastAsia="方正仿宋_GBK"/>
                <w:sz w:val="24"/>
              </w:rPr>
              <w:t>游客综合接待量</w:t>
            </w:r>
          </w:p>
        </w:tc>
        <w:tc>
          <w:tcPr>
            <w:tcW w:w="1634" w:type="dxa"/>
            <w:vAlign w:val="center"/>
          </w:tcPr>
          <w:p>
            <w:pPr>
              <w:spacing w:line="0" w:lineRule="atLeast"/>
              <w:jc w:val="center"/>
              <w:rPr>
                <w:rFonts w:eastAsia="方正仿宋_GBK"/>
                <w:sz w:val="24"/>
              </w:rPr>
            </w:pPr>
            <w:r>
              <w:rPr>
                <w:rFonts w:hint="eastAsia" w:eastAsia="方正仿宋_GBK"/>
                <w:spacing w:val="-10"/>
                <w:sz w:val="24"/>
              </w:rPr>
              <w:t>万人次</w:t>
            </w:r>
          </w:p>
        </w:tc>
        <w:tc>
          <w:tcPr>
            <w:tcW w:w="1861" w:type="dxa"/>
            <w:vAlign w:val="center"/>
          </w:tcPr>
          <w:p>
            <w:pPr>
              <w:spacing w:line="0" w:lineRule="atLeast"/>
              <w:jc w:val="center"/>
              <w:rPr>
                <w:rFonts w:eastAsia="方正仿宋_GBK"/>
                <w:sz w:val="24"/>
              </w:rPr>
            </w:pPr>
            <w:r>
              <w:rPr>
                <w:rFonts w:hint="eastAsia" w:eastAsia="方正仿宋_GBK"/>
                <w:sz w:val="24"/>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10</w:t>
            </w:r>
          </w:p>
        </w:tc>
        <w:tc>
          <w:tcPr>
            <w:tcW w:w="4494" w:type="dxa"/>
            <w:vAlign w:val="center"/>
          </w:tcPr>
          <w:p>
            <w:pPr>
              <w:widowControl/>
              <w:spacing w:line="0" w:lineRule="atLeast"/>
              <w:jc w:val="left"/>
              <w:rPr>
                <w:rFonts w:eastAsia="方正仿宋_GBK"/>
                <w:sz w:val="24"/>
              </w:rPr>
            </w:pPr>
            <w:r>
              <w:rPr>
                <w:rStyle w:val="10"/>
                <w:rFonts w:hint="eastAsia" w:eastAsia="方正仿宋_GBK"/>
                <w:b w:val="0"/>
                <w:sz w:val="24"/>
              </w:rPr>
              <w:t>全社会R&amp;D</w:t>
            </w:r>
            <w:r>
              <w:rPr>
                <w:rFonts w:hint="eastAsia" w:eastAsia="方正仿宋_GBK"/>
                <w:kern w:val="0"/>
                <w:sz w:val="24"/>
                <w:shd w:val="clear" w:color="auto" w:fill="FFFFFF"/>
              </w:rPr>
              <w:t>经费支出</w:t>
            </w:r>
          </w:p>
        </w:tc>
        <w:tc>
          <w:tcPr>
            <w:tcW w:w="1634" w:type="dxa"/>
            <w:vAlign w:val="center"/>
          </w:tcPr>
          <w:p>
            <w:pPr>
              <w:spacing w:line="0" w:lineRule="atLeast"/>
              <w:jc w:val="center"/>
              <w:rPr>
                <w:rFonts w:eastAsia="方正仿宋_GBK"/>
                <w:sz w:val="24"/>
              </w:rPr>
            </w:pPr>
            <w:r>
              <w:rPr>
                <w:rFonts w:hint="eastAsia" w:eastAsia="方正仿宋_GBK"/>
                <w:sz w:val="24"/>
              </w:rPr>
              <w:t>亿元</w:t>
            </w:r>
          </w:p>
        </w:tc>
        <w:tc>
          <w:tcPr>
            <w:tcW w:w="1861" w:type="dxa"/>
            <w:vAlign w:val="center"/>
          </w:tcPr>
          <w:p>
            <w:pPr>
              <w:spacing w:line="0" w:lineRule="atLeast"/>
              <w:jc w:val="center"/>
              <w:rPr>
                <w:rFonts w:eastAsia="方正仿宋_GBK"/>
                <w:sz w:val="24"/>
              </w:rPr>
            </w:pPr>
            <w:r>
              <w:rPr>
                <w:rFonts w:hint="eastAsia" w:eastAsia="方正仿宋_GBK"/>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1</w:t>
            </w:r>
          </w:p>
        </w:tc>
        <w:tc>
          <w:tcPr>
            <w:tcW w:w="4494" w:type="dxa"/>
            <w:vAlign w:val="center"/>
          </w:tcPr>
          <w:p>
            <w:pPr>
              <w:widowControl/>
              <w:spacing w:line="0" w:lineRule="atLeast"/>
              <w:jc w:val="left"/>
              <w:rPr>
                <w:rFonts w:eastAsia="方正仿宋_GBK"/>
                <w:kern w:val="0"/>
                <w:sz w:val="24"/>
                <w:shd w:val="clear" w:color="auto" w:fill="FFFFFF"/>
              </w:rPr>
            </w:pPr>
            <w:r>
              <w:rPr>
                <w:rFonts w:hint="eastAsia" w:eastAsia="方正仿宋_GBK"/>
                <w:kern w:val="0"/>
                <w:sz w:val="24"/>
                <w:shd w:val="clear" w:color="auto" w:fill="FFFFFF"/>
              </w:rPr>
              <w:t>数字经济增加值占地区生产总值比重</w:t>
            </w:r>
          </w:p>
        </w:tc>
        <w:tc>
          <w:tcPr>
            <w:tcW w:w="1634" w:type="dxa"/>
            <w:vAlign w:val="center"/>
          </w:tcPr>
          <w:p>
            <w:pPr>
              <w:spacing w:line="0" w:lineRule="atLeast"/>
              <w:jc w:val="center"/>
              <w:rPr>
                <w:rFonts w:eastAsia="方正仿宋_GBK"/>
                <w:spacing w:val="-10"/>
                <w:sz w:val="24"/>
              </w:rPr>
            </w:pPr>
            <w:r>
              <w:rPr>
                <w:rFonts w:eastAsia="方正仿宋_GBK"/>
                <w:spacing w:val="-10"/>
                <w:sz w:val="24"/>
              </w:rPr>
              <w:t>%</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黑体_GBK"/>
                <w:spacing w:val="-10"/>
                <w:sz w:val="24"/>
              </w:rPr>
            </w:pPr>
            <w:r>
              <w:rPr>
                <w:rFonts w:eastAsia="方正黑体_GBK"/>
                <w:spacing w:val="-10"/>
                <w:sz w:val="24"/>
              </w:rPr>
              <w:t>三、</w:t>
            </w:r>
            <w:r>
              <w:rPr>
                <w:rFonts w:hint="eastAsia" w:eastAsia="方正黑体_GBK"/>
                <w:spacing w:val="-10"/>
                <w:sz w:val="24"/>
              </w:rPr>
              <w:t>山水宜居之城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2</w:t>
            </w:r>
          </w:p>
        </w:tc>
        <w:tc>
          <w:tcPr>
            <w:tcW w:w="4494" w:type="dxa"/>
            <w:vAlign w:val="center"/>
          </w:tcPr>
          <w:p>
            <w:pPr>
              <w:widowControl/>
              <w:spacing w:line="0" w:lineRule="atLeast"/>
              <w:jc w:val="left"/>
              <w:rPr>
                <w:rFonts w:eastAsia="方正仿宋_GBK"/>
                <w:sz w:val="24"/>
              </w:rPr>
            </w:pPr>
            <w:r>
              <w:rPr>
                <w:rFonts w:hint="eastAsia" w:eastAsia="方正仿宋_GBK"/>
                <w:sz w:val="24"/>
              </w:rPr>
              <w:t>常住人口城镇化率</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3</w:t>
            </w:r>
          </w:p>
        </w:tc>
        <w:tc>
          <w:tcPr>
            <w:tcW w:w="4494" w:type="dxa"/>
            <w:vAlign w:val="center"/>
          </w:tcPr>
          <w:p>
            <w:pPr>
              <w:widowControl/>
              <w:spacing w:line="0" w:lineRule="atLeast"/>
              <w:jc w:val="left"/>
              <w:rPr>
                <w:rFonts w:eastAsia="方正仿宋_GBK"/>
                <w:sz w:val="24"/>
              </w:rPr>
            </w:pPr>
            <w:r>
              <w:rPr>
                <w:rFonts w:hint="eastAsia" w:eastAsia="方正仿宋_GBK"/>
                <w:kern w:val="0"/>
                <w:sz w:val="24"/>
                <w:shd w:val="clear" w:color="auto" w:fill="FFFFFF"/>
              </w:rPr>
              <w:t>城市建成区面积</w:t>
            </w:r>
          </w:p>
        </w:tc>
        <w:tc>
          <w:tcPr>
            <w:tcW w:w="1634" w:type="dxa"/>
            <w:vAlign w:val="center"/>
          </w:tcPr>
          <w:p>
            <w:pPr>
              <w:spacing w:line="0" w:lineRule="atLeast"/>
              <w:jc w:val="center"/>
              <w:rPr>
                <w:rFonts w:eastAsia="方正仿宋_GBK"/>
                <w:sz w:val="24"/>
              </w:rPr>
            </w:pPr>
            <w:r>
              <w:rPr>
                <w:rFonts w:hint="eastAsia" w:eastAsia="方正仿宋_GBK"/>
                <w:spacing w:val="-10"/>
                <w:sz w:val="24"/>
              </w:rPr>
              <w:t>平方公里</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4</w:t>
            </w:r>
          </w:p>
        </w:tc>
        <w:tc>
          <w:tcPr>
            <w:tcW w:w="4494" w:type="dxa"/>
            <w:vAlign w:val="center"/>
          </w:tcPr>
          <w:p>
            <w:pPr>
              <w:widowControl/>
              <w:spacing w:line="0" w:lineRule="atLeast"/>
              <w:jc w:val="left"/>
              <w:rPr>
                <w:rFonts w:eastAsia="方正仿宋_GBK"/>
                <w:sz w:val="24"/>
              </w:rPr>
            </w:pPr>
            <w:r>
              <w:rPr>
                <w:rFonts w:hint="eastAsia" w:eastAsia="方正仿宋_GBK"/>
                <w:kern w:val="0"/>
                <w:sz w:val="24"/>
                <w:shd w:val="clear" w:color="auto" w:fill="FFFFFF"/>
              </w:rPr>
              <w:t>人均公园绿地面积</w:t>
            </w:r>
          </w:p>
        </w:tc>
        <w:tc>
          <w:tcPr>
            <w:tcW w:w="1634" w:type="dxa"/>
            <w:vAlign w:val="center"/>
          </w:tcPr>
          <w:p>
            <w:pPr>
              <w:spacing w:line="0" w:lineRule="atLeast"/>
              <w:jc w:val="center"/>
              <w:rPr>
                <w:rFonts w:eastAsia="方正仿宋_GBK"/>
                <w:sz w:val="24"/>
              </w:rPr>
            </w:pPr>
            <w:r>
              <w:rPr>
                <w:rFonts w:hint="eastAsia" w:eastAsia="方正仿宋_GBK"/>
                <w:spacing w:val="-10"/>
                <w:sz w:val="24"/>
              </w:rPr>
              <w:t>平方米</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5</w:t>
            </w:r>
          </w:p>
        </w:tc>
        <w:tc>
          <w:tcPr>
            <w:tcW w:w="4494" w:type="dxa"/>
            <w:vAlign w:val="center"/>
          </w:tcPr>
          <w:p>
            <w:pPr>
              <w:widowControl/>
              <w:spacing w:line="0" w:lineRule="atLeast"/>
              <w:jc w:val="left"/>
              <w:rPr>
                <w:rFonts w:eastAsia="方正仿宋_GBK"/>
                <w:sz w:val="24"/>
              </w:rPr>
            </w:pPr>
            <w:r>
              <w:rPr>
                <w:rFonts w:hint="eastAsia" w:eastAsia="方正仿宋_GBK"/>
                <w:sz w:val="24"/>
              </w:rPr>
              <w:t>城市生活污水处理率</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6</w:t>
            </w:r>
          </w:p>
        </w:tc>
        <w:tc>
          <w:tcPr>
            <w:tcW w:w="4494" w:type="dxa"/>
            <w:vAlign w:val="center"/>
          </w:tcPr>
          <w:p>
            <w:pPr>
              <w:spacing w:line="0" w:lineRule="atLeast"/>
              <w:jc w:val="left"/>
              <w:rPr>
                <w:rFonts w:eastAsia="方正仿宋_GBK"/>
                <w:sz w:val="24"/>
              </w:rPr>
            </w:pPr>
            <w:r>
              <w:rPr>
                <w:rFonts w:hint="eastAsia" w:eastAsia="方正仿宋_GBK"/>
                <w:sz w:val="24"/>
              </w:rPr>
              <w:t>城市生活垃圾资源化利用率</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黑体_GBK"/>
                <w:spacing w:val="-10"/>
                <w:sz w:val="24"/>
              </w:rPr>
            </w:pPr>
            <w:r>
              <w:rPr>
                <w:rFonts w:eastAsia="方正黑体_GBK"/>
                <w:spacing w:val="-10"/>
                <w:sz w:val="24"/>
              </w:rPr>
              <w:t>四、</w:t>
            </w:r>
            <w:r>
              <w:rPr>
                <w:rFonts w:hint="eastAsia" w:eastAsia="方正黑体_GBK"/>
                <w:spacing w:val="-10"/>
                <w:sz w:val="24"/>
              </w:rPr>
              <w:t>生态文明建设示范区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7</w:t>
            </w:r>
          </w:p>
        </w:tc>
        <w:tc>
          <w:tcPr>
            <w:tcW w:w="4494" w:type="dxa"/>
            <w:vAlign w:val="center"/>
          </w:tcPr>
          <w:p>
            <w:pPr>
              <w:widowControl/>
              <w:spacing w:line="0" w:lineRule="atLeast"/>
              <w:jc w:val="left"/>
              <w:rPr>
                <w:rFonts w:eastAsia="方正仿宋_GBK"/>
                <w:sz w:val="24"/>
              </w:rPr>
            </w:pPr>
            <w:r>
              <w:rPr>
                <w:rFonts w:hint="eastAsia" w:eastAsia="方正仿宋_GBK"/>
                <w:kern w:val="0"/>
                <w:sz w:val="24"/>
                <w:shd w:val="clear" w:color="auto" w:fill="FFFFFF"/>
              </w:rPr>
              <w:t>环境空气质量优良天数</w:t>
            </w:r>
          </w:p>
        </w:tc>
        <w:tc>
          <w:tcPr>
            <w:tcW w:w="1634" w:type="dxa"/>
            <w:vAlign w:val="center"/>
          </w:tcPr>
          <w:p>
            <w:pPr>
              <w:spacing w:line="0" w:lineRule="atLeast"/>
              <w:jc w:val="center"/>
              <w:rPr>
                <w:rFonts w:eastAsia="方正仿宋_GBK"/>
                <w:sz w:val="24"/>
              </w:rPr>
            </w:pPr>
            <w:r>
              <w:rPr>
                <w:rFonts w:hint="eastAsia" w:eastAsia="方正仿宋_GBK"/>
                <w:spacing w:val="-10"/>
                <w:sz w:val="24"/>
              </w:rPr>
              <w:t>天</w:t>
            </w:r>
          </w:p>
        </w:tc>
        <w:tc>
          <w:tcPr>
            <w:tcW w:w="1861" w:type="dxa"/>
            <w:vAlign w:val="center"/>
          </w:tcPr>
          <w:p>
            <w:pPr>
              <w:spacing w:line="0" w:lineRule="atLeast"/>
              <w:jc w:val="center"/>
              <w:rPr>
                <w:rFonts w:eastAsia="方正仿宋_GBK"/>
                <w:sz w:val="24"/>
              </w:rPr>
            </w:pPr>
            <w:r>
              <w:rPr>
                <w:rFonts w:hint="eastAsia" w:eastAsia="方正仿宋_GBK"/>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18</w:t>
            </w:r>
          </w:p>
        </w:tc>
        <w:tc>
          <w:tcPr>
            <w:tcW w:w="4494" w:type="dxa"/>
            <w:vAlign w:val="center"/>
          </w:tcPr>
          <w:p>
            <w:pPr>
              <w:spacing w:line="0" w:lineRule="atLeast"/>
              <w:rPr>
                <w:rFonts w:eastAsia="方正仿宋_GBK"/>
                <w:sz w:val="24"/>
              </w:rPr>
            </w:pPr>
            <w:r>
              <w:rPr>
                <w:rFonts w:hint="eastAsia" w:eastAsia="方正仿宋_GBK"/>
                <w:szCs w:val="21"/>
              </w:rPr>
              <w:t>地表水水质优良（达到或好于Ⅲ类）比例</w:t>
            </w:r>
          </w:p>
        </w:tc>
        <w:tc>
          <w:tcPr>
            <w:tcW w:w="1634" w:type="dxa"/>
            <w:vAlign w:val="center"/>
          </w:tcPr>
          <w:p>
            <w:pPr>
              <w:spacing w:line="0" w:lineRule="atLeast"/>
              <w:jc w:val="center"/>
              <w:rPr>
                <w:rFonts w:eastAsia="方正仿宋_GBK"/>
                <w:szCs w:val="21"/>
              </w:rPr>
            </w:pPr>
            <w:r>
              <w:rPr>
                <w:rFonts w:hint="eastAsia" w:eastAsia="方正仿宋_GBK"/>
                <w:szCs w:val="21"/>
              </w:rPr>
              <w:t>%</w:t>
            </w:r>
          </w:p>
        </w:tc>
        <w:tc>
          <w:tcPr>
            <w:tcW w:w="1861" w:type="dxa"/>
            <w:vAlign w:val="center"/>
          </w:tcPr>
          <w:p>
            <w:pPr>
              <w:spacing w:line="0" w:lineRule="atLeast"/>
              <w:jc w:val="center"/>
              <w:rPr>
                <w:rFonts w:eastAsia="方正仿宋_GBK"/>
                <w:sz w:val="24"/>
              </w:rPr>
            </w:pPr>
            <w:r>
              <w:rPr>
                <w:rFonts w:hint="eastAsia" w:eastAsia="方正仿宋_GBK"/>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19</w:t>
            </w:r>
          </w:p>
        </w:tc>
        <w:tc>
          <w:tcPr>
            <w:tcW w:w="4494" w:type="dxa"/>
            <w:vAlign w:val="center"/>
          </w:tcPr>
          <w:p>
            <w:pPr>
              <w:widowControl/>
              <w:spacing w:line="0" w:lineRule="atLeast"/>
              <w:jc w:val="left"/>
              <w:rPr>
                <w:rFonts w:eastAsia="方正仿宋_GBK"/>
                <w:sz w:val="24"/>
              </w:rPr>
            </w:pPr>
            <w:r>
              <w:rPr>
                <w:rFonts w:eastAsia="方正仿宋_GBK"/>
                <w:szCs w:val="21"/>
              </w:rPr>
              <w:t>PM</w:t>
            </w:r>
            <w:r>
              <w:rPr>
                <w:rFonts w:eastAsia="方正仿宋_GBK"/>
                <w:szCs w:val="21"/>
                <w:vertAlign w:val="subscript"/>
              </w:rPr>
              <w:t>2.5</w:t>
            </w:r>
            <w:r>
              <w:rPr>
                <w:rFonts w:hint="eastAsia" w:eastAsia="方正仿宋_GBK"/>
                <w:szCs w:val="21"/>
              </w:rPr>
              <w:t>平均浓度</w:t>
            </w:r>
          </w:p>
        </w:tc>
        <w:tc>
          <w:tcPr>
            <w:tcW w:w="1634" w:type="dxa"/>
            <w:vAlign w:val="center"/>
          </w:tcPr>
          <w:p>
            <w:pPr>
              <w:spacing w:line="0" w:lineRule="atLeast"/>
              <w:jc w:val="center"/>
              <w:rPr>
                <w:rFonts w:eastAsia="方正仿宋_GBK"/>
                <w:sz w:val="24"/>
              </w:rPr>
            </w:pPr>
            <w:r>
              <w:rPr>
                <w:rFonts w:hint="eastAsia" w:eastAsia="方正仿宋_GBK"/>
                <w:spacing w:val="-10"/>
                <w:sz w:val="24"/>
              </w:rPr>
              <w:t>微克每立方米</w:t>
            </w:r>
          </w:p>
        </w:tc>
        <w:tc>
          <w:tcPr>
            <w:tcW w:w="1861" w:type="dxa"/>
            <w:vAlign w:val="center"/>
          </w:tcPr>
          <w:p>
            <w:pPr>
              <w:spacing w:line="0" w:lineRule="atLeast"/>
              <w:jc w:val="center"/>
              <w:rPr>
                <w:rFonts w:eastAsia="方正仿宋_GBK"/>
                <w:szCs w:val="21"/>
              </w:rPr>
            </w:pPr>
            <w:r>
              <w:rPr>
                <w:rFonts w:hint="eastAsia" w:eastAsia="方正仿宋_GBK"/>
                <w:szCs w:val="21"/>
              </w:rPr>
              <w:t>≤</w:t>
            </w:r>
            <w:r>
              <w:rPr>
                <w:rFonts w:eastAsia="方正仿宋_GBK"/>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20</w:t>
            </w:r>
          </w:p>
        </w:tc>
        <w:tc>
          <w:tcPr>
            <w:tcW w:w="4494" w:type="dxa"/>
            <w:vAlign w:val="center"/>
          </w:tcPr>
          <w:p>
            <w:pPr>
              <w:widowControl/>
              <w:spacing w:line="0" w:lineRule="atLeast"/>
              <w:jc w:val="left"/>
              <w:rPr>
                <w:rFonts w:eastAsia="方正仿宋_GBK"/>
                <w:sz w:val="24"/>
              </w:rPr>
            </w:pPr>
            <w:r>
              <w:rPr>
                <w:rFonts w:hint="eastAsia" w:eastAsia="方正仿宋_GBK"/>
                <w:sz w:val="24"/>
              </w:rPr>
              <w:t>单位地区生产总值能源消耗降低</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2</w:t>
            </w:r>
            <w:r>
              <w:rPr>
                <w:rFonts w:hint="eastAsia" w:eastAsia="方正仿宋_GBK"/>
                <w:sz w:val="24"/>
              </w:rPr>
              <w:t>1</w:t>
            </w:r>
          </w:p>
        </w:tc>
        <w:tc>
          <w:tcPr>
            <w:tcW w:w="4494" w:type="dxa"/>
            <w:vAlign w:val="center"/>
          </w:tcPr>
          <w:p>
            <w:pPr>
              <w:widowControl/>
              <w:spacing w:line="0" w:lineRule="atLeast"/>
              <w:jc w:val="left"/>
              <w:rPr>
                <w:rFonts w:eastAsia="方正仿宋_GBK"/>
                <w:sz w:val="24"/>
              </w:rPr>
            </w:pPr>
            <w:r>
              <w:rPr>
                <w:rFonts w:hint="eastAsia" w:eastAsia="方正仿宋_GBK"/>
                <w:sz w:val="24"/>
              </w:rPr>
              <w:t>万元地区生产总值用水量下降</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2</w:t>
            </w:r>
            <w:r>
              <w:rPr>
                <w:rFonts w:hint="eastAsia" w:eastAsia="方正仿宋_GBK"/>
                <w:sz w:val="24"/>
              </w:rPr>
              <w:t>2</w:t>
            </w:r>
          </w:p>
        </w:tc>
        <w:tc>
          <w:tcPr>
            <w:tcW w:w="4494" w:type="dxa"/>
            <w:vAlign w:val="center"/>
          </w:tcPr>
          <w:p>
            <w:pPr>
              <w:widowControl/>
              <w:spacing w:line="0" w:lineRule="atLeast"/>
              <w:jc w:val="left"/>
              <w:rPr>
                <w:rFonts w:eastAsia="方正仿宋_GBK"/>
                <w:sz w:val="24"/>
              </w:rPr>
            </w:pPr>
            <w:r>
              <w:rPr>
                <w:rFonts w:hint="eastAsia" w:eastAsia="方正仿宋_GBK"/>
                <w:sz w:val="24"/>
              </w:rPr>
              <w:t>森林覆盖率</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黑体_GBK"/>
                <w:spacing w:val="-10"/>
                <w:sz w:val="24"/>
              </w:rPr>
            </w:pPr>
            <w:r>
              <w:rPr>
                <w:rFonts w:eastAsia="方正黑体_GBK"/>
                <w:spacing w:val="-10"/>
                <w:sz w:val="24"/>
              </w:rPr>
              <w:t>五、</w:t>
            </w:r>
            <w:r>
              <w:rPr>
                <w:rFonts w:hint="eastAsia" w:eastAsia="方正黑体_GBK"/>
                <w:spacing w:val="-10"/>
                <w:sz w:val="24"/>
              </w:rPr>
              <w:t>城乡融合发展示范区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2</w:t>
            </w:r>
            <w:r>
              <w:rPr>
                <w:rFonts w:hint="eastAsia" w:eastAsia="方正仿宋_GBK"/>
                <w:sz w:val="24"/>
              </w:rPr>
              <w:t>3</w:t>
            </w:r>
          </w:p>
        </w:tc>
        <w:tc>
          <w:tcPr>
            <w:tcW w:w="4494" w:type="dxa"/>
            <w:vAlign w:val="center"/>
          </w:tcPr>
          <w:p>
            <w:pPr>
              <w:spacing w:line="0" w:lineRule="atLeast"/>
              <w:jc w:val="left"/>
              <w:rPr>
                <w:rFonts w:eastAsia="方正仿宋_GBK"/>
                <w:sz w:val="24"/>
              </w:rPr>
            </w:pPr>
            <w:r>
              <w:rPr>
                <w:rFonts w:hint="eastAsia" w:eastAsia="方正仿宋_GBK"/>
                <w:spacing w:val="-10"/>
                <w:kern w:val="0"/>
                <w:sz w:val="24"/>
              </w:rPr>
              <w:t>全体居民人均可支配收入增速</w:t>
            </w:r>
          </w:p>
        </w:tc>
        <w:tc>
          <w:tcPr>
            <w:tcW w:w="1634" w:type="dxa"/>
            <w:vAlign w:val="center"/>
          </w:tcPr>
          <w:p>
            <w:pPr>
              <w:spacing w:line="0" w:lineRule="atLeast"/>
              <w:jc w:val="center"/>
              <w:rPr>
                <w:rFonts w:eastAsia="方正仿宋_GBK"/>
                <w:sz w:val="24"/>
              </w:rPr>
            </w:pPr>
            <w:r>
              <w:rPr>
                <w:rFonts w:hint="eastAsia"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8.5左右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2</w:t>
            </w:r>
            <w:r>
              <w:rPr>
                <w:rFonts w:hint="eastAsia" w:eastAsia="方正仿宋_GBK"/>
                <w:sz w:val="24"/>
              </w:rPr>
              <w:t>4</w:t>
            </w:r>
          </w:p>
        </w:tc>
        <w:tc>
          <w:tcPr>
            <w:tcW w:w="4494" w:type="dxa"/>
            <w:vAlign w:val="center"/>
          </w:tcPr>
          <w:p>
            <w:pPr>
              <w:widowControl/>
              <w:spacing w:line="0" w:lineRule="atLeast"/>
              <w:jc w:val="left"/>
              <w:rPr>
                <w:rFonts w:eastAsia="方正仿宋_GBK"/>
                <w:sz w:val="24"/>
              </w:rPr>
            </w:pPr>
            <w:r>
              <w:rPr>
                <w:rFonts w:hint="eastAsia" w:eastAsia="方正仿宋_GBK"/>
                <w:kern w:val="0"/>
                <w:sz w:val="24"/>
                <w:shd w:val="clear" w:color="auto" w:fill="FFFFFF"/>
              </w:rPr>
              <w:t>城镇新增就业人数</w:t>
            </w:r>
          </w:p>
        </w:tc>
        <w:tc>
          <w:tcPr>
            <w:tcW w:w="1634" w:type="dxa"/>
            <w:vAlign w:val="center"/>
          </w:tcPr>
          <w:p>
            <w:pPr>
              <w:spacing w:line="0" w:lineRule="atLeast"/>
              <w:jc w:val="center"/>
              <w:rPr>
                <w:rFonts w:eastAsia="方正仿宋_GBK"/>
                <w:sz w:val="24"/>
              </w:rPr>
            </w:pPr>
            <w:r>
              <w:rPr>
                <w:rFonts w:hint="eastAsia" w:eastAsia="方正仿宋_GBK"/>
                <w:spacing w:val="-10"/>
                <w:sz w:val="24"/>
              </w:rPr>
              <w:t>人</w:t>
            </w:r>
          </w:p>
        </w:tc>
        <w:tc>
          <w:tcPr>
            <w:tcW w:w="1861" w:type="dxa"/>
            <w:vAlign w:val="center"/>
          </w:tcPr>
          <w:p>
            <w:pPr>
              <w:spacing w:line="0" w:lineRule="atLeast"/>
              <w:jc w:val="center"/>
              <w:rPr>
                <w:rFonts w:eastAsia="方正仿宋_GBK"/>
                <w:sz w:val="24"/>
              </w:rPr>
            </w:pPr>
            <w:r>
              <w:rPr>
                <w:rFonts w:hint="eastAsia" w:eastAsia="方正仿宋_GBK"/>
                <w:sz w:val="24"/>
              </w:rPr>
              <w:t>7500以上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25</w:t>
            </w:r>
          </w:p>
        </w:tc>
        <w:tc>
          <w:tcPr>
            <w:tcW w:w="4494" w:type="dxa"/>
            <w:vAlign w:val="center"/>
          </w:tcPr>
          <w:p>
            <w:pPr>
              <w:widowControl/>
              <w:spacing w:line="0" w:lineRule="atLeast"/>
              <w:jc w:val="left"/>
              <w:rPr>
                <w:rFonts w:eastAsia="方正仿宋_GBK"/>
                <w:kern w:val="0"/>
                <w:sz w:val="24"/>
                <w:shd w:val="clear" w:color="auto" w:fill="FFFFFF"/>
              </w:rPr>
            </w:pPr>
            <w:r>
              <w:rPr>
                <w:rFonts w:hint="eastAsia" w:eastAsia="方正仿宋_GBK"/>
                <w:kern w:val="0"/>
                <w:sz w:val="24"/>
                <w:shd w:val="clear" w:color="auto" w:fill="FFFFFF"/>
              </w:rPr>
              <w:t>居民消费价格指数</w:t>
            </w:r>
          </w:p>
        </w:tc>
        <w:tc>
          <w:tcPr>
            <w:tcW w:w="1634" w:type="dxa"/>
            <w:vAlign w:val="center"/>
          </w:tcPr>
          <w:p>
            <w:pPr>
              <w:spacing w:line="0" w:lineRule="atLeast"/>
              <w:jc w:val="center"/>
              <w:rPr>
                <w:rFonts w:eastAsia="方正仿宋_GBK"/>
                <w:spacing w:val="-10"/>
                <w:sz w:val="24"/>
              </w:rPr>
            </w:pPr>
            <w:r>
              <w:rPr>
                <w:rFonts w:hint="eastAsia"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pacing w:val="-10"/>
                <w:sz w:val="24"/>
              </w:rPr>
              <w:t>103.5以内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26</w:t>
            </w:r>
          </w:p>
        </w:tc>
        <w:tc>
          <w:tcPr>
            <w:tcW w:w="4494" w:type="dxa"/>
            <w:vAlign w:val="center"/>
          </w:tcPr>
          <w:p>
            <w:pPr>
              <w:widowControl/>
              <w:spacing w:line="0" w:lineRule="atLeast"/>
              <w:jc w:val="left"/>
              <w:rPr>
                <w:rFonts w:eastAsia="方正仿宋_GBK"/>
                <w:kern w:val="0"/>
                <w:sz w:val="24"/>
                <w:shd w:val="clear" w:color="auto" w:fill="FFFFFF"/>
              </w:rPr>
            </w:pPr>
            <w:r>
              <w:rPr>
                <w:rFonts w:hint="eastAsia" w:eastAsia="方正仿宋_GBK"/>
                <w:kern w:val="0"/>
                <w:sz w:val="24"/>
                <w:shd w:val="clear" w:color="auto" w:fill="FFFFFF"/>
              </w:rPr>
              <w:t>主要劳动年龄人口平均受教育年限</w:t>
            </w:r>
          </w:p>
        </w:tc>
        <w:tc>
          <w:tcPr>
            <w:tcW w:w="1634" w:type="dxa"/>
            <w:vAlign w:val="center"/>
          </w:tcPr>
          <w:p>
            <w:pPr>
              <w:spacing w:line="0" w:lineRule="atLeast"/>
              <w:jc w:val="center"/>
              <w:rPr>
                <w:rFonts w:eastAsia="方正仿宋_GBK"/>
                <w:spacing w:val="-10"/>
                <w:sz w:val="24"/>
              </w:rPr>
            </w:pPr>
            <w:r>
              <w:rPr>
                <w:rFonts w:hint="eastAsia" w:eastAsia="方正仿宋_GBK"/>
                <w:spacing w:val="-10"/>
                <w:sz w:val="24"/>
              </w:rPr>
              <w:t>年</w:t>
            </w:r>
          </w:p>
        </w:tc>
        <w:tc>
          <w:tcPr>
            <w:tcW w:w="1861" w:type="dxa"/>
            <w:vAlign w:val="center"/>
          </w:tcPr>
          <w:p>
            <w:pPr>
              <w:spacing w:line="0" w:lineRule="atLeast"/>
              <w:jc w:val="center"/>
              <w:rPr>
                <w:rFonts w:eastAsia="方正仿宋_GBK"/>
                <w:sz w:val="24"/>
              </w:rPr>
            </w:pPr>
            <w:r>
              <w:rPr>
                <w:rFonts w:hint="eastAsia" w:eastAsia="方正仿宋_GBK"/>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971" w:type="dxa"/>
            <w:vAlign w:val="center"/>
          </w:tcPr>
          <w:p>
            <w:pPr>
              <w:spacing w:line="0" w:lineRule="atLeast"/>
              <w:jc w:val="center"/>
              <w:rPr>
                <w:rFonts w:eastAsia="方正仿宋_GBK"/>
                <w:sz w:val="24"/>
              </w:rPr>
            </w:pPr>
            <w:r>
              <w:rPr>
                <w:rFonts w:eastAsia="方正仿宋_GBK"/>
                <w:sz w:val="24"/>
              </w:rPr>
              <w:t>2</w:t>
            </w:r>
            <w:r>
              <w:rPr>
                <w:rFonts w:hint="eastAsia" w:eastAsia="方正仿宋_GBK"/>
                <w:sz w:val="24"/>
              </w:rPr>
              <w:t>7</w:t>
            </w:r>
          </w:p>
        </w:tc>
        <w:tc>
          <w:tcPr>
            <w:tcW w:w="4494" w:type="dxa"/>
            <w:vAlign w:val="center"/>
          </w:tcPr>
          <w:p>
            <w:pPr>
              <w:widowControl/>
              <w:spacing w:line="0" w:lineRule="atLeast"/>
              <w:jc w:val="left"/>
              <w:rPr>
                <w:rFonts w:eastAsia="方正仿宋_GBK"/>
                <w:kern w:val="0"/>
                <w:sz w:val="24"/>
                <w:shd w:val="clear" w:color="auto" w:fill="FFFFFF"/>
              </w:rPr>
            </w:pPr>
            <w:r>
              <w:rPr>
                <w:rFonts w:hint="eastAsia" w:eastAsia="方正仿宋_GBK"/>
                <w:kern w:val="0"/>
                <w:sz w:val="24"/>
                <w:shd w:val="clear" w:color="auto" w:fill="FFFFFF"/>
              </w:rPr>
              <w:t>每千人口拥有执业（助理）医师数</w:t>
            </w:r>
          </w:p>
        </w:tc>
        <w:tc>
          <w:tcPr>
            <w:tcW w:w="1634" w:type="dxa"/>
            <w:vAlign w:val="center"/>
          </w:tcPr>
          <w:p>
            <w:pPr>
              <w:spacing w:line="0" w:lineRule="atLeast"/>
              <w:jc w:val="center"/>
              <w:rPr>
                <w:rFonts w:eastAsia="方正仿宋_GBK"/>
                <w:spacing w:val="-10"/>
                <w:sz w:val="24"/>
              </w:rPr>
            </w:pPr>
            <w:r>
              <w:rPr>
                <w:rFonts w:hint="eastAsia" w:eastAsia="方正仿宋_GBK"/>
                <w:spacing w:val="-10"/>
                <w:sz w:val="24"/>
              </w:rPr>
              <w:t>人</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28</w:t>
            </w:r>
          </w:p>
        </w:tc>
        <w:tc>
          <w:tcPr>
            <w:tcW w:w="4494" w:type="dxa"/>
            <w:vAlign w:val="center"/>
          </w:tcPr>
          <w:p>
            <w:pPr>
              <w:spacing w:line="0" w:lineRule="atLeast"/>
              <w:jc w:val="left"/>
              <w:rPr>
                <w:rFonts w:eastAsia="方正仿宋_GBK"/>
                <w:spacing w:val="-10"/>
                <w:sz w:val="24"/>
              </w:rPr>
            </w:pPr>
            <w:r>
              <w:rPr>
                <w:rFonts w:hint="eastAsia" w:eastAsia="方正仿宋_GBK"/>
                <w:spacing w:val="-10"/>
                <w:sz w:val="24"/>
              </w:rPr>
              <w:t>文化产业增加值占地区生产总值比重</w:t>
            </w:r>
          </w:p>
        </w:tc>
        <w:tc>
          <w:tcPr>
            <w:tcW w:w="1634" w:type="dxa"/>
            <w:vAlign w:val="center"/>
          </w:tcPr>
          <w:p>
            <w:pPr>
              <w:spacing w:line="0" w:lineRule="atLeast"/>
              <w:jc w:val="center"/>
              <w:rPr>
                <w:rFonts w:eastAsia="方正仿宋_GBK"/>
                <w:spacing w:val="-10"/>
                <w:sz w:val="24"/>
              </w:rPr>
            </w:pPr>
            <w:r>
              <w:rPr>
                <w:rFonts w:hint="eastAsia"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黑体_GBK"/>
                <w:spacing w:val="-10"/>
                <w:sz w:val="24"/>
              </w:rPr>
            </w:pPr>
            <w:r>
              <w:rPr>
                <w:rFonts w:eastAsia="方正黑体_GBK"/>
                <w:spacing w:val="-10"/>
                <w:sz w:val="24"/>
              </w:rPr>
              <w:t>六、</w:t>
            </w:r>
            <w:r>
              <w:rPr>
                <w:rFonts w:hint="eastAsia" w:eastAsia="方正黑体_GBK"/>
                <w:spacing w:val="-10"/>
                <w:sz w:val="24"/>
              </w:rPr>
              <w:t>“两群”绿色协同发展示范区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29</w:t>
            </w:r>
          </w:p>
        </w:tc>
        <w:tc>
          <w:tcPr>
            <w:tcW w:w="4494" w:type="dxa"/>
            <w:vAlign w:val="center"/>
          </w:tcPr>
          <w:p>
            <w:pPr>
              <w:spacing w:line="0" w:lineRule="atLeast"/>
              <w:rPr>
                <w:rFonts w:eastAsia="方正仿宋_GBK"/>
                <w:sz w:val="24"/>
              </w:rPr>
            </w:pPr>
            <w:r>
              <w:rPr>
                <w:rFonts w:hint="eastAsia" w:eastAsia="方正仿宋_GBK"/>
                <w:spacing w:val="-20"/>
                <w:kern w:val="0"/>
                <w:sz w:val="24"/>
              </w:rPr>
              <w:t>“三峡库心</w:t>
            </w:r>
            <w:r>
              <w:rPr>
                <w:rFonts w:hint="eastAsia" w:eastAsia="方正仿宋_GBK" w:cs="方正仿宋_GBK"/>
                <w:spacing w:val="-20"/>
                <w:kern w:val="0"/>
                <w:sz w:val="24"/>
              </w:rPr>
              <w:t>·</w:t>
            </w:r>
            <w:r>
              <w:rPr>
                <w:rFonts w:hint="eastAsia" w:eastAsia="方正仿宋_GBK"/>
                <w:spacing w:val="-20"/>
                <w:kern w:val="0"/>
                <w:sz w:val="24"/>
              </w:rPr>
              <w:t>长江盆景”文旅综合收入</w:t>
            </w:r>
          </w:p>
        </w:tc>
        <w:tc>
          <w:tcPr>
            <w:tcW w:w="1634" w:type="dxa"/>
            <w:vAlign w:val="center"/>
          </w:tcPr>
          <w:p>
            <w:pPr>
              <w:spacing w:line="0" w:lineRule="atLeast"/>
              <w:jc w:val="center"/>
              <w:rPr>
                <w:rFonts w:eastAsia="方正仿宋_GBK"/>
                <w:sz w:val="24"/>
              </w:rPr>
            </w:pPr>
            <w:r>
              <w:rPr>
                <w:rFonts w:hint="eastAsia" w:eastAsia="方正仿宋_GBK"/>
                <w:spacing w:val="-10"/>
                <w:sz w:val="24"/>
              </w:rPr>
              <w:t>亿元</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30</w:t>
            </w:r>
          </w:p>
        </w:tc>
        <w:tc>
          <w:tcPr>
            <w:tcW w:w="4494" w:type="dxa"/>
            <w:vAlign w:val="center"/>
          </w:tcPr>
          <w:p>
            <w:pPr>
              <w:spacing w:line="0" w:lineRule="atLeast"/>
              <w:rPr>
                <w:rFonts w:eastAsia="方正仿宋_GBK"/>
                <w:sz w:val="24"/>
              </w:rPr>
            </w:pPr>
            <w:r>
              <w:rPr>
                <w:rFonts w:hint="eastAsia" w:eastAsia="方正仿宋_GBK"/>
                <w:spacing w:val="-20"/>
                <w:kern w:val="0"/>
                <w:sz w:val="24"/>
              </w:rPr>
              <w:t>进出口总额</w:t>
            </w:r>
          </w:p>
        </w:tc>
        <w:tc>
          <w:tcPr>
            <w:tcW w:w="1634" w:type="dxa"/>
            <w:vAlign w:val="center"/>
          </w:tcPr>
          <w:p>
            <w:pPr>
              <w:spacing w:line="0" w:lineRule="atLeast"/>
              <w:jc w:val="center"/>
              <w:rPr>
                <w:rFonts w:eastAsia="方正仿宋_GBK"/>
                <w:sz w:val="24"/>
              </w:rPr>
            </w:pPr>
            <w:r>
              <w:rPr>
                <w:rFonts w:hint="eastAsia" w:eastAsia="方正仿宋_GBK"/>
                <w:spacing w:val="-10"/>
                <w:sz w:val="24"/>
              </w:rPr>
              <w:t>万美元</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31</w:t>
            </w:r>
          </w:p>
        </w:tc>
        <w:tc>
          <w:tcPr>
            <w:tcW w:w="4494" w:type="dxa"/>
            <w:vAlign w:val="center"/>
          </w:tcPr>
          <w:p>
            <w:pPr>
              <w:widowControl/>
              <w:spacing w:line="0" w:lineRule="atLeast"/>
              <w:rPr>
                <w:rFonts w:eastAsia="方正仿宋_GBK"/>
                <w:sz w:val="24"/>
              </w:rPr>
            </w:pPr>
            <w:r>
              <w:rPr>
                <w:rFonts w:hint="eastAsia" w:eastAsia="方正仿宋_GBK"/>
                <w:spacing w:val="-20"/>
                <w:kern w:val="0"/>
                <w:sz w:val="24"/>
              </w:rPr>
              <w:t>招商引资实际到位资金</w:t>
            </w:r>
          </w:p>
        </w:tc>
        <w:tc>
          <w:tcPr>
            <w:tcW w:w="1634" w:type="dxa"/>
            <w:vAlign w:val="center"/>
          </w:tcPr>
          <w:p>
            <w:pPr>
              <w:spacing w:line="0" w:lineRule="atLeast"/>
              <w:jc w:val="center"/>
              <w:rPr>
                <w:rFonts w:eastAsia="方正仿宋_GBK"/>
                <w:sz w:val="24"/>
              </w:rPr>
            </w:pPr>
            <w:r>
              <w:rPr>
                <w:rFonts w:hint="eastAsia" w:eastAsia="方正仿宋_GBK"/>
                <w:spacing w:val="-10"/>
                <w:sz w:val="24"/>
              </w:rPr>
              <w:t>亿元</w:t>
            </w:r>
          </w:p>
        </w:tc>
        <w:tc>
          <w:tcPr>
            <w:tcW w:w="1861" w:type="dxa"/>
            <w:vAlign w:val="center"/>
          </w:tcPr>
          <w:p>
            <w:pPr>
              <w:spacing w:line="0" w:lineRule="atLeast"/>
              <w:jc w:val="center"/>
              <w:rPr>
                <w:rFonts w:eastAsia="方正仿宋_GBK"/>
                <w:sz w:val="24"/>
              </w:rPr>
            </w:pPr>
            <w:r>
              <w:rPr>
                <w:rFonts w:hint="eastAsia" w:eastAsia="方正仿宋_GBK"/>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3</w:t>
            </w:r>
            <w:r>
              <w:rPr>
                <w:rFonts w:hint="eastAsia" w:eastAsia="方正仿宋_GBK"/>
                <w:sz w:val="24"/>
              </w:rPr>
              <w:t>2</w:t>
            </w:r>
          </w:p>
        </w:tc>
        <w:tc>
          <w:tcPr>
            <w:tcW w:w="4494" w:type="dxa"/>
            <w:vAlign w:val="center"/>
          </w:tcPr>
          <w:p>
            <w:pPr>
              <w:widowControl/>
              <w:spacing w:line="0" w:lineRule="atLeast"/>
              <w:rPr>
                <w:rFonts w:eastAsia="方正仿宋_GBK"/>
                <w:sz w:val="24"/>
              </w:rPr>
            </w:pPr>
            <w:r>
              <w:rPr>
                <w:rFonts w:hint="eastAsia" w:eastAsia="方正仿宋_GBK"/>
                <w:sz w:val="24"/>
              </w:rPr>
              <w:t>港口货运吞吐量</w:t>
            </w:r>
          </w:p>
        </w:tc>
        <w:tc>
          <w:tcPr>
            <w:tcW w:w="1634" w:type="dxa"/>
            <w:vAlign w:val="center"/>
          </w:tcPr>
          <w:p>
            <w:pPr>
              <w:spacing w:line="0" w:lineRule="atLeast"/>
              <w:jc w:val="center"/>
              <w:rPr>
                <w:rFonts w:eastAsia="方正仿宋_GBK"/>
                <w:sz w:val="24"/>
              </w:rPr>
            </w:pPr>
            <w:r>
              <w:rPr>
                <w:rFonts w:hint="eastAsia" w:eastAsia="方正仿宋_GBK"/>
                <w:spacing w:val="-10"/>
                <w:sz w:val="24"/>
              </w:rPr>
              <w:t>万吨</w:t>
            </w:r>
          </w:p>
        </w:tc>
        <w:tc>
          <w:tcPr>
            <w:tcW w:w="1861" w:type="dxa"/>
            <w:vAlign w:val="center"/>
          </w:tcPr>
          <w:p>
            <w:pPr>
              <w:spacing w:line="0" w:lineRule="atLeast"/>
              <w:jc w:val="center"/>
              <w:rPr>
                <w:rFonts w:eastAsia="方正仿宋_GBK"/>
                <w:sz w:val="24"/>
              </w:rPr>
            </w:pPr>
            <w:r>
              <w:rPr>
                <w:rFonts w:hint="eastAsia" w:eastAsia="方正仿宋_GBK"/>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仿宋_GBK"/>
                <w:sz w:val="24"/>
              </w:rPr>
            </w:pPr>
            <w:r>
              <w:rPr>
                <w:rFonts w:hint="eastAsia" w:eastAsia="方正黑体_GBK"/>
                <w:spacing w:val="-10"/>
                <w:sz w:val="24"/>
              </w:rPr>
              <w:t>七、安全发展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3</w:t>
            </w:r>
            <w:r>
              <w:rPr>
                <w:rFonts w:hint="eastAsia" w:eastAsia="方正仿宋_GBK"/>
                <w:sz w:val="24"/>
              </w:rPr>
              <w:t>3</w:t>
            </w:r>
          </w:p>
        </w:tc>
        <w:tc>
          <w:tcPr>
            <w:tcW w:w="4494" w:type="dxa"/>
            <w:vAlign w:val="center"/>
          </w:tcPr>
          <w:p>
            <w:pPr>
              <w:widowControl/>
              <w:spacing w:line="0" w:lineRule="atLeast"/>
              <w:rPr>
                <w:rFonts w:eastAsia="方正仿宋_GBK"/>
                <w:sz w:val="24"/>
              </w:rPr>
            </w:pPr>
            <w:r>
              <w:rPr>
                <w:rFonts w:hint="eastAsia" w:eastAsia="方正仿宋_GBK"/>
                <w:sz w:val="24"/>
              </w:rPr>
              <w:t>粮食综合生产能力</w:t>
            </w:r>
          </w:p>
        </w:tc>
        <w:tc>
          <w:tcPr>
            <w:tcW w:w="1634" w:type="dxa"/>
            <w:vAlign w:val="center"/>
          </w:tcPr>
          <w:p>
            <w:pPr>
              <w:spacing w:line="0" w:lineRule="atLeast"/>
              <w:jc w:val="center"/>
              <w:rPr>
                <w:rFonts w:eastAsia="方正仿宋_GBK"/>
                <w:sz w:val="24"/>
              </w:rPr>
            </w:pPr>
            <w:r>
              <w:rPr>
                <w:rFonts w:hint="eastAsia" w:eastAsia="方正仿宋_GBK"/>
                <w:spacing w:val="-10"/>
                <w:sz w:val="24"/>
              </w:rPr>
              <w:t>万吨</w:t>
            </w:r>
          </w:p>
        </w:tc>
        <w:tc>
          <w:tcPr>
            <w:tcW w:w="1861" w:type="dxa"/>
            <w:vAlign w:val="center"/>
          </w:tcPr>
          <w:p>
            <w:pPr>
              <w:spacing w:line="0" w:lineRule="atLeast"/>
              <w:jc w:val="center"/>
              <w:rPr>
                <w:rFonts w:eastAsia="方正仿宋_GBK"/>
                <w:sz w:val="24"/>
              </w:rPr>
            </w:pPr>
            <w:r>
              <w:rPr>
                <w:rFonts w:hint="eastAsia" w:eastAsia="方正仿宋_GBK"/>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3</w:t>
            </w:r>
            <w:r>
              <w:rPr>
                <w:rFonts w:hint="eastAsia" w:eastAsia="方正仿宋_GBK"/>
                <w:sz w:val="24"/>
              </w:rPr>
              <w:t>4</w:t>
            </w:r>
          </w:p>
        </w:tc>
        <w:tc>
          <w:tcPr>
            <w:tcW w:w="4494" w:type="dxa"/>
            <w:vAlign w:val="center"/>
          </w:tcPr>
          <w:p>
            <w:pPr>
              <w:widowControl/>
              <w:spacing w:line="0" w:lineRule="atLeast"/>
              <w:rPr>
                <w:rFonts w:eastAsia="方正仿宋_GBK"/>
                <w:spacing w:val="-20"/>
                <w:kern w:val="0"/>
                <w:sz w:val="24"/>
              </w:rPr>
            </w:pPr>
            <w:r>
              <w:rPr>
                <w:rFonts w:hint="eastAsia" w:eastAsia="方正仿宋_GBK"/>
                <w:sz w:val="24"/>
              </w:rPr>
              <w:t>亿元地区生产总值安全事故死亡率</w:t>
            </w:r>
          </w:p>
        </w:tc>
        <w:tc>
          <w:tcPr>
            <w:tcW w:w="1634" w:type="dxa"/>
            <w:vAlign w:val="center"/>
          </w:tcPr>
          <w:p>
            <w:pPr>
              <w:spacing w:line="0" w:lineRule="atLeast"/>
              <w:jc w:val="center"/>
              <w:rPr>
                <w:rFonts w:eastAsia="方正仿宋_GBK"/>
                <w:spacing w:val="-10"/>
                <w:sz w:val="24"/>
              </w:rPr>
            </w:pPr>
            <w:r>
              <w:rPr>
                <w:rFonts w:hint="eastAsia" w:eastAsia="方正仿宋_GBK"/>
                <w:spacing w:val="-10"/>
                <w:sz w:val="24"/>
              </w:rPr>
              <w:t>—</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＜0.03</w:t>
            </w:r>
          </w:p>
        </w:tc>
      </w:tr>
    </w:tbl>
    <w:p>
      <w:pPr>
        <w:spacing w:line="560" w:lineRule="exact"/>
        <w:ind w:firstLine="520" w:firstLineChars="200"/>
        <w:rPr>
          <w:rStyle w:val="10"/>
          <w:rFonts w:eastAsia="方正仿宋_GBK"/>
          <w:b w:val="0"/>
          <w:sz w:val="32"/>
          <w:szCs w:val="32"/>
        </w:rPr>
      </w:pPr>
      <w:r>
        <w:rPr>
          <w:rFonts w:eastAsia="黑体"/>
          <w:spacing w:val="-10"/>
          <w:sz w:val="28"/>
          <w:szCs w:val="28"/>
        </w:rPr>
        <w:t>注</w:t>
      </w:r>
      <w:r>
        <w:rPr>
          <w:rFonts w:eastAsia="方正小标宋_GBK"/>
          <w:spacing w:val="-10"/>
          <w:sz w:val="28"/>
          <w:szCs w:val="28"/>
        </w:rPr>
        <w:t>：</w:t>
      </w:r>
      <w:r>
        <w:rPr>
          <w:rFonts w:eastAsia="方正仿宋_GBK"/>
          <w:spacing w:val="-10"/>
          <w:sz w:val="28"/>
          <w:szCs w:val="28"/>
        </w:rPr>
        <w:t>地区生产总值及各行业增加值增速均为可比价。</w:t>
      </w:r>
    </w:p>
    <w:p>
      <w:pPr>
        <w:spacing w:line="560" w:lineRule="exact"/>
        <w:ind w:firstLine="640" w:firstLineChars="200"/>
        <w:rPr>
          <w:rStyle w:val="10"/>
          <w:rFonts w:eastAsia="方正仿宋_GBK"/>
          <w:b w:val="0"/>
          <w:sz w:val="32"/>
          <w:szCs w:val="32"/>
        </w:rPr>
      </w:pPr>
      <w:r>
        <w:rPr>
          <w:rStyle w:val="10"/>
          <w:rFonts w:eastAsia="方正仿宋_GBK"/>
          <w:b w:val="0"/>
          <w:sz w:val="32"/>
          <w:szCs w:val="32"/>
        </w:rPr>
        <w:t>确定上述目标，主要基于以下考虑：综合考虑高质量发展这一根本要求和开启社会主义现代化新征程、向第二个百年奋斗目标进军的需要，对标对表中央、全市经济工作会议总体要求，综合分析2021年国内外经济形势</w:t>
      </w:r>
      <w:r>
        <w:rPr>
          <w:rStyle w:val="10"/>
          <w:rFonts w:hint="eastAsia" w:eastAsia="方正仿宋_GBK"/>
          <w:b w:val="0"/>
          <w:sz w:val="32"/>
          <w:szCs w:val="32"/>
        </w:rPr>
        <w:t>、</w:t>
      </w:r>
      <w:r>
        <w:rPr>
          <w:rStyle w:val="10"/>
          <w:rFonts w:eastAsia="方正仿宋_GBK"/>
          <w:b w:val="0"/>
          <w:sz w:val="32"/>
          <w:szCs w:val="32"/>
        </w:rPr>
        <w:t>宏观政策取向和经济增长支撑因素，提出经济增长预期目标8%</w:t>
      </w:r>
      <w:r>
        <w:rPr>
          <w:rStyle w:val="10"/>
          <w:rFonts w:hint="eastAsia" w:eastAsia="方正仿宋_GBK"/>
          <w:b w:val="0"/>
          <w:sz w:val="32"/>
          <w:szCs w:val="32"/>
        </w:rPr>
        <w:t>左右</w:t>
      </w:r>
      <w:r>
        <w:rPr>
          <w:rStyle w:val="10"/>
          <w:rFonts w:eastAsia="方正仿宋_GBK"/>
          <w:b w:val="0"/>
          <w:sz w:val="32"/>
          <w:szCs w:val="32"/>
        </w:rPr>
        <w:t>。</w:t>
      </w:r>
      <w:r>
        <w:rPr>
          <w:rStyle w:val="10"/>
          <w:rFonts w:eastAsia="方正仿宋_GBK"/>
          <w:b w:val="0"/>
          <w:bCs/>
          <w:sz w:val="32"/>
          <w:szCs w:val="32"/>
        </w:rPr>
        <w:t>一是</w:t>
      </w:r>
      <w:r>
        <w:rPr>
          <w:rStyle w:val="10"/>
          <w:rFonts w:hint="eastAsia" w:eastAsia="方正仿宋_GBK"/>
          <w:b w:val="0"/>
          <w:sz w:val="32"/>
          <w:szCs w:val="32"/>
        </w:rPr>
        <w:t>从</w:t>
      </w:r>
      <w:r>
        <w:rPr>
          <w:rStyle w:val="10"/>
          <w:rFonts w:eastAsia="方正仿宋_GBK"/>
          <w:b w:val="0"/>
          <w:sz w:val="32"/>
          <w:szCs w:val="32"/>
        </w:rPr>
        <w:t>战略看，党中央提出要加快构建以国内大循环为主体、国内国际双循环相互促进的新发展格局，作出推动成渝地区双城经济圈建设的重大战略部署，为宏观经济形势趋好奠定了</w:t>
      </w:r>
      <w:r>
        <w:rPr>
          <w:rStyle w:val="10"/>
          <w:rFonts w:hint="eastAsia" w:eastAsia="方正仿宋_GBK"/>
          <w:b w:val="0"/>
          <w:sz w:val="32"/>
          <w:szCs w:val="32"/>
        </w:rPr>
        <w:t>坚实</w:t>
      </w:r>
      <w:r>
        <w:rPr>
          <w:rStyle w:val="10"/>
          <w:rFonts w:eastAsia="方正仿宋_GBK"/>
          <w:b w:val="0"/>
          <w:sz w:val="32"/>
          <w:szCs w:val="32"/>
        </w:rPr>
        <w:t>基础。</w:t>
      </w:r>
      <w:r>
        <w:rPr>
          <w:rStyle w:val="10"/>
          <w:rFonts w:hint="eastAsia" w:eastAsia="方正仿宋_GBK"/>
          <w:b w:val="0"/>
          <w:bCs/>
          <w:sz w:val="32"/>
          <w:szCs w:val="32"/>
        </w:rPr>
        <w:t>二是</w:t>
      </w:r>
      <w:r>
        <w:rPr>
          <w:rStyle w:val="10"/>
          <w:rFonts w:hint="eastAsia" w:eastAsia="方正仿宋_GBK"/>
          <w:b w:val="0"/>
          <w:sz w:val="32"/>
          <w:szCs w:val="32"/>
        </w:rPr>
        <w:t>从环境看，随着新冠肺炎疫苗加快接种，市场主体信心、消费潜力、生产生活秩序将加速提振恢复释放。</w:t>
      </w:r>
      <w:r>
        <w:rPr>
          <w:rStyle w:val="10"/>
          <w:rFonts w:hint="eastAsia" w:eastAsia="方正仿宋_GBK"/>
          <w:b w:val="0"/>
          <w:bCs/>
          <w:sz w:val="32"/>
          <w:szCs w:val="32"/>
        </w:rPr>
        <w:t>三是</w:t>
      </w:r>
      <w:r>
        <w:rPr>
          <w:rStyle w:val="10"/>
          <w:rFonts w:hint="eastAsia" w:eastAsia="方正仿宋_GBK"/>
          <w:b w:val="0"/>
          <w:sz w:val="32"/>
          <w:szCs w:val="32"/>
        </w:rPr>
        <w:t>从产业看，新兴际华、忠润能源LNG项目、三一绿建等工业项目将全面投产达效，预计工业总产值增长11%。加强忠州购物公园运营，电子商务、数字经济快速壮大，加快推进爱琴海购物公园、五洲国际商贸城等项目，开展系列主题消费活动释放消费潜力，社会零售品消费总额预计增长8%左右。</w:t>
      </w:r>
      <w:r>
        <w:rPr>
          <w:rStyle w:val="10"/>
          <w:rFonts w:hint="eastAsia" w:eastAsia="方正仿宋_GBK"/>
          <w:b w:val="0"/>
          <w:bCs/>
          <w:sz w:val="32"/>
          <w:szCs w:val="32"/>
        </w:rPr>
        <w:t>四是</w:t>
      </w:r>
      <w:r>
        <w:rPr>
          <w:rStyle w:val="10"/>
          <w:rFonts w:hint="eastAsia" w:eastAsia="方正仿宋_GBK"/>
          <w:b w:val="0"/>
          <w:sz w:val="32"/>
          <w:szCs w:val="32"/>
        </w:rPr>
        <w:t>从投资看，</w:t>
      </w:r>
      <w:r>
        <w:rPr>
          <w:rStyle w:val="10"/>
          <w:rFonts w:eastAsia="方正仿宋_GBK"/>
          <w:b w:val="0"/>
          <w:sz w:val="32"/>
          <w:szCs w:val="32"/>
        </w:rPr>
        <w:t>渝万高铁</w:t>
      </w:r>
      <w:r>
        <w:rPr>
          <w:rStyle w:val="10"/>
          <w:rFonts w:hint="eastAsia" w:eastAsia="方正仿宋_GBK"/>
          <w:b w:val="0"/>
          <w:sz w:val="32"/>
          <w:szCs w:val="32"/>
        </w:rPr>
        <w:t>开工建设，打造“三峡库心</w:t>
      </w:r>
      <w:r>
        <w:rPr>
          <w:rStyle w:val="10"/>
          <w:rFonts w:hint="eastAsia" w:eastAsia="方正仿宋_GBK" w:cs="方正仿宋_GBK"/>
          <w:b w:val="0"/>
          <w:sz w:val="32"/>
          <w:szCs w:val="32"/>
        </w:rPr>
        <w:t>·</w:t>
      </w:r>
      <w:r>
        <w:rPr>
          <w:rStyle w:val="10"/>
          <w:rFonts w:hint="eastAsia" w:eastAsia="方正仿宋_GBK"/>
          <w:b w:val="0"/>
          <w:sz w:val="32"/>
          <w:szCs w:val="32"/>
        </w:rPr>
        <w:t>长江盆景”，海螺水泥、宇豪光学、极达鑫科技等企业实施智能化改造，将成为经济社会发展“新引擎”。</w:t>
      </w:r>
      <w:r>
        <w:rPr>
          <w:rStyle w:val="10"/>
          <w:rFonts w:eastAsia="方正仿宋_GBK"/>
          <w:b w:val="0"/>
          <w:sz w:val="32"/>
          <w:szCs w:val="32"/>
        </w:rPr>
        <w:t>综上分析，全县2021年GDP增长8%有望实现。</w:t>
      </w:r>
    </w:p>
    <w:p>
      <w:pPr>
        <w:spacing w:line="560" w:lineRule="exact"/>
        <w:ind w:firstLine="640" w:firstLineChars="200"/>
        <w:rPr>
          <w:rFonts w:eastAsia="方正仿宋_GBK"/>
          <w:sz w:val="32"/>
          <w:szCs w:val="32"/>
        </w:rPr>
      </w:pPr>
      <w:r>
        <w:rPr>
          <w:rStyle w:val="10"/>
          <w:rFonts w:hint="eastAsia" w:eastAsia="方正楷体_GBK" w:cs="方正楷体_GBK"/>
          <w:b w:val="0"/>
          <w:sz w:val="32"/>
          <w:szCs w:val="32"/>
        </w:rPr>
        <w:t>（三）重点项目安排。</w:t>
      </w:r>
      <w:r>
        <w:rPr>
          <w:rFonts w:hint="eastAsia" w:eastAsia="方正仿宋_GBK"/>
          <w:sz w:val="32"/>
          <w:szCs w:val="32"/>
        </w:rPr>
        <w:t>2021年全县实施重点项目334个、年度投资约149.45亿元。其中，政府主导类项目256个、年度投资71.45亿元，市场主导类项目78个、年度投资77.99亿元，政府主导类和市场主导类项目比重约为48:52。</w:t>
      </w:r>
    </w:p>
    <w:p>
      <w:pPr>
        <w:spacing w:line="560" w:lineRule="exact"/>
        <w:ind w:firstLine="640" w:firstLineChars="200"/>
        <w:rPr>
          <w:rStyle w:val="10"/>
          <w:rFonts w:eastAsia="方正黑体_GBK" w:cs="方正黑体_GBK"/>
          <w:b w:val="0"/>
          <w:sz w:val="32"/>
          <w:szCs w:val="32"/>
        </w:rPr>
      </w:pPr>
      <w:r>
        <w:rPr>
          <w:rStyle w:val="10"/>
          <w:rFonts w:hint="eastAsia" w:eastAsia="方正黑体_GBK" w:cs="方正黑体_GBK"/>
          <w:b w:val="0"/>
          <w:sz w:val="32"/>
          <w:szCs w:val="32"/>
        </w:rPr>
        <w:t>三、2021年实现国民经济和社会发展计划的重点工作</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（一）加快构建现代产业体系，推动经济高质量发展</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推动产业数字化、集群化、融合化、智能化发展，加快构建实体经济、科技创新、现代金融、人力资本协同发展的现代产业体系。</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壮大四大产业集群。加快特瑞新能源锂电池正极材料项目二期建设，力促忠润能源页岩气液化储备调峰及综合利用项目一期试生产。加快海南海药西部（忠县）医药产业基地项目一期头孢类、培南类等4条原料药生产线试生产。推动新润星科技年产5000台数控机床项目、鑫锐诚科技新型智能制造项目一期达产达效。加速年产2000万吨机制砂、三一绿建智能建筑产业园、海螺水泥220万吨粉磨站等项目建设。</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做大文化旅游业。围绕“三峡库心</w:t>
      </w:r>
      <w:r>
        <w:rPr>
          <w:rStyle w:val="10"/>
          <w:rFonts w:hint="eastAsia" w:eastAsia="方正仿宋_GBK" w:cs="方正仿宋_GBK"/>
          <w:b w:val="0"/>
          <w:sz w:val="32"/>
          <w:szCs w:val="32"/>
        </w:rPr>
        <w:t>·</w:t>
      </w:r>
      <w:r>
        <w:rPr>
          <w:rStyle w:val="10"/>
          <w:rFonts w:hint="eastAsia" w:eastAsia="方正仿宋_GBK"/>
          <w:b w:val="0"/>
          <w:sz w:val="32"/>
          <w:szCs w:val="32"/>
        </w:rPr>
        <w:t>长江盆景”加快发展数字文化产业等新业态、新模式、新经济。积极融入巴蜀文化旅游走廊建设，共同打造旅游线路产品，加大旅游宣传营销，办好长江三峡国际马拉松等赛事活动，力争全年接待游客1150万人次以上，实现旅游综合收入60亿元以上。推动马灌灌湖水乡、花田溪谷等创建A级景区。</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促进物流业发展。提速打造新生港仓储物流园，加快五洲国际仓储物流配送中心、恒达沥青物流分拨中心等建设，完善县乡村三级物流共同配送体系，加快构建城乡仓配一体化体系建设。强化物流业市场主体培育，引导小型水陆运输企业整合，加大重庆杨鹏物流公司和宜昌吉祥滚转船公司招商力度。引进船务公司、货代公司和物流企业，拓展新生港货源。与梁平、垫江合作打造“无水港”。</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（二）持续扩大投资消费出口，强化内生需求支撑</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着力发挥投资关键作用和消费基础性作用，持续壮大外贸出口，推动形成需求牵引供给、供给创造需求的更高水平动态平衡。</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扩大有效投资。围绕“内循环、双循环”、“两新一重”等投资方向，聚焦产业链供应链价值链抓好政府类、市场类项目策划。保障前期工作经费，确保项目达到可开工程度。加大部委专项、中央预算内、三峡后续等上级资金争取力度，强化政银对接，力争融资到位30亿元，建立健全“项目池+资金池+要素保障池”机制。提升资金拨付率，严控超合同、超概算现象。全力向上争取用地指标，加大“批而未建”土地盘活力度。推广重点项目“百日攻坚”行动经验，加快项目建设。抓好土地、拆迁等要素保障，为渝万高铁忠县段、忠县站场等项目建设营造良好施工环境。</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释放消费潜力。加快农产品批发市场、五洲国际汽贸城等专业市场建设。加快建设爱琴海购物公园，强化忠州购物公园运营，着力提升巴王、滨江等特色商业街品质。有序取消一些行政性限制消费购买的规定，充分挖掘乡镇消费潜力。开展系列主题消费活动，大力发展会展经济，促进住房、汽车、家电等传统大宗消费。</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着力扩大出口。围绕柑橘、笋竹等主导产业，打造忠县农特产品出口示范基地。借力西部陆海新通道，推广“互联网+外贸”模式扩大农特产品出口。加强与市贸促会、进出口商会等商协会的对接合作，积极参加国际国内各类展会。积极推进跨境电商，探索创建外贸孵化基地。</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（三）聚力特色中等城市开发建设，彰显“诗意山水</w:t>
      </w:r>
      <w:r>
        <w:rPr>
          <w:rStyle w:val="10"/>
          <w:rFonts w:hint="eastAsia" w:eastAsia="方正仿宋_GBK" w:cs="方正仿宋_GBK"/>
          <w:b w:val="0"/>
          <w:sz w:val="32"/>
          <w:szCs w:val="32"/>
        </w:rPr>
        <w:t>·</w:t>
      </w:r>
      <w:r>
        <w:rPr>
          <w:rStyle w:val="10"/>
          <w:rFonts w:hint="eastAsia" w:eastAsia="方正楷体_GBK" w:cs="方正楷体_GBK"/>
          <w:b w:val="0"/>
          <w:sz w:val="32"/>
          <w:szCs w:val="32"/>
        </w:rPr>
        <w:t>忠义之州”形象</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深入推进以人为核心的新型城镇化，加强县城城镇化补短板强弱项，高起点规划城市、高质量建设城市、高水平管理城市，打造山水宜居之城。</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优化空间布局。统筹生产、生活、生态空间布局，加快完成全县国土空间规划编制和各专项规划编制，健全完善规划体系，为“多规合一”一张图管理打下坚实基础。按照土地成片开发方案确定年度实施计划，组织实施城市成片开发建设。提速推进乌杨新区开发、水坪新城开发、临港新城建设及忠州老城改造，有序拉开“一江两岸四片区”城市骨架，加快建设特色中等城市，打造山水宜居之城。</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推进城市提升。推进新型城镇化试点工作，推广装配式建筑、绿色建筑、智慧（城市）小区、海绵城市建设。积极包装策划老旧小区改造项目，完成锦鸿小区、香山社区等4个老旧小区改造。推进恒邦·忠州壹号、希望悦江府、忠县东方红太阳花园等新开发房地产项目。实施租购并举住房制度改革，促进房地产市场健康发展。抓好㽏井河二桥、县城苏家小区沿江综合整治工程等项目建设，建成鸣玉溪公园三期、银山安置点连接道，加快建设香山体育公园、鸣玉溪公园四期，新增城市绿地10万平方米。</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抓好城市管理。持续深化全国文明县城创建和“大城三管”，开展户外广告、占道经营等专项执法行动，加快智慧停车建设，不断提升城市品质。县城建成区开展生活垃圾分类示范，建成再生资源回收利用体系和有害垃圾收运处置体系，城市生活垃圾资源化利用率达35%。做好城区供水保障，力争开工建设香山水厂二期扩建工程，新改扩建城市供水管网2.5公里。</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（四）全面推进乡村振兴，建设“一兴四美</w:t>
      </w:r>
      <w:r>
        <w:rPr>
          <w:rStyle w:val="10"/>
          <w:rFonts w:hint="eastAsia" w:eastAsia="方正仿宋_GBK" w:cs="方正仿宋_GBK"/>
          <w:b w:val="0"/>
          <w:sz w:val="32"/>
          <w:szCs w:val="32"/>
        </w:rPr>
        <w:t>·</w:t>
      </w:r>
      <w:r>
        <w:rPr>
          <w:rStyle w:val="10"/>
          <w:rFonts w:hint="eastAsia" w:eastAsia="方正楷体_GBK" w:cs="方正楷体_GBK"/>
          <w:b w:val="0"/>
          <w:sz w:val="32"/>
          <w:szCs w:val="32"/>
        </w:rPr>
        <w:t>七彩大地”</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巩固拓展脱贫攻坚成果，全面落实“五个振兴”要求，加快农业农村现代化，促进农业高质高效、乡村宜居宜业、农民富裕富足。</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抓好农业“接二连三”。持续推进“103050”工程，扩大现代山地特色高效农业规模。加快35万吨柑橘加工、果品冷链、50万头生猪一体化等项目建设，大力发展休闲农业和乡村旅游，加大三峡橘乡·田园综合体招商力度。落实粮食安全行政首长责任制，新建高标准农田6万亩，提高粮食生产保供能力。抓好“一村一品”建设，支持农村电商发展，围绕村播试点县，培育一批农民网红。加强水稻、柑橘、生猪等重大疫病防控，确保产业安全。</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实施乡村建设行动。优化农业产业基地、农村居民点、绿色生态空间布局。深入实施“农村人居环境整治三年行动”，争创“全市农村人居环境整治示范县”。持续实施公路安保工程和农村公路护栏安装，大力推广“县、乡、村”三级路长制。完成农村公路改造150公里，推进黄钦水库扩建等重点水源工程建设，开工建设马耳坝水库中型灌区节水配套改造项目。加强和改进乡村治理，提高乡村善治水平。</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巩固拓展脱贫攻坚成果。做好巩固拓展脱贫攻坚成果同乡村振兴有效衔接，继续加大对482户（1266人）脱贫不稳定户、428户（1109人）边缘易致贫户等两类监测对象监测和有效帮扶，新增9个有效衔接试点村。推动市级乡村振兴示范镇建设，争取将忠县纳入西部地区乡村振兴重点帮扶县，争取国家、市级财政扶贫专项资金8000万元以上。深化农村土地制度、集体产权制度等改革，以22个试点村为核心推进“三变”改革试点，</w:t>
      </w:r>
      <w:r>
        <w:rPr>
          <w:rStyle w:val="10"/>
          <w:rFonts w:eastAsia="方正仿宋_GBK"/>
          <w:b w:val="0"/>
          <w:sz w:val="32"/>
          <w:szCs w:val="32"/>
        </w:rPr>
        <w:t>继续落实</w:t>
      </w:r>
      <w:r>
        <w:rPr>
          <w:rStyle w:val="10"/>
          <w:rFonts w:hint="eastAsia" w:eastAsia="方正仿宋_GBK"/>
          <w:b w:val="0"/>
          <w:sz w:val="32"/>
          <w:szCs w:val="32"/>
        </w:rPr>
        <w:t>“</w:t>
      </w:r>
      <w:r>
        <w:rPr>
          <w:rStyle w:val="10"/>
          <w:rFonts w:eastAsia="方正仿宋_GBK"/>
          <w:b w:val="0"/>
          <w:sz w:val="32"/>
          <w:szCs w:val="32"/>
        </w:rPr>
        <w:t>两贷两保两贴</w:t>
      </w:r>
      <w:r>
        <w:rPr>
          <w:rStyle w:val="10"/>
          <w:rFonts w:hint="eastAsia" w:eastAsia="方正仿宋_GBK"/>
          <w:b w:val="0"/>
          <w:sz w:val="32"/>
          <w:szCs w:val="32"/>
        </w:rPr>
        <w:t>”</w:t>
      </w:r>
      <w:r>
        <w:rPr>
          <w:rStyle w:val="10"/>
          <w:rFonts w:eastAsia="方正仿宋_GBK"/>
          <w:b w:val="0"/>
          <w:sz w:val="32"/>
          <w:szCs w:val="32"/>
        </w:rPr>
        <w:t>组合融资模式，扩大财政助农资金</w:t>
      </w:r>
      <w:r>
        <w:rPr>
          <w:rStyle w:val="10"/>
          <w:rFonts w:hint="eastAsia" w:eastAsia="方正仿宋_GBK"/>
          <w:b w:val="0"/>
          <w:sz w:val="32"/>
          <w:szCs w:val="32"/>
        </w:rPr>
        <w:t>“</w:t>
      </w:r>
      <w:r>
        <w:rPr>
          <w:rStyle w:val="10"/>
          <w:rFonts w:eastAsia="方正仿宋_GBK"/>
          <w:b w:val="0"/>
          <w:sz w:val="32"/>
          <w:szCs w:val="32"/>
        </w:rPr>
        <w:t>拨改投</w:t>
      </w:r>
      <w:r>
        <w:rPr>
          <w:rStyle w:val="10"/>
          <w:rFonts w:hint="eastAsia" w:eastAsia="方正仿宋_GBK"/>
          <w:b w:val="0"/>
          <w:sz w:val="32"/>
          <w:szCs w:val="32"/>
        </w:rPr>
        <w:t>”</w:t>
      </w:r>
      <w:r>
        <w:rPr>
          <w:rStyle w:val="10"/>
          <w:rFonts w:eastAsia="方正仿宋_GBK"/>
          <w:b w:val="0"/>
          <w:sz w:val="32"/>
          <w:szCs w:val="32"/>
        </w:rPr>
        <w:t>试点，</w:t>
      </w:r>
      <w:r>
        <w:rPr>
          <w:rStyle w:val="10"/>
          <w:rFonts w:hint="eastAsia" w:eastAsia="方正仿宋_GBK"/>
          <w:b w:val="0"/>
          <w:sz w:val="32"/>
          <w:szCs w:val="32"/>
        </w:rPr>
        <w:t>增强农业农村发展内在活力。</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（五）推动全面深化改革，激活发展动力动能活力</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坚持全面发力、多点突破、纵深推进，持续推进全面深化改革，推动改革和发展深度融合高效联动，为推动高质量发展增添动力。</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深化供给侧结构性改革。持续推进云河水电、佳德刃具、新盛特钢等僵尸企业重组盘活，努力实现产业再造。支持盘活东方农药、中美药业闲置资产。加大自住性购房契税奖励等政策支持力度，促进购房需求释放。加大政府隐性债务化解力度，确保债务风险平稳可控。严厉打击非法金融活动。</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深化重点领域改革。深化“放管服”改革，优化升级权责清单，统一规范公共服务清单，推进商事制度改革，抓好“多证合一”和“证照分离”改革，新发展市场主体1万户，其中企业1500户。全面推行“一窗综办”，持续开展“一网一窗一次一日”改革。深入实施国有企业改革三年行动计划，全面完成全民所有制企业公司制改革任务。接续执行“支持企业45条”等政策措施，助力市场主体健康发展。深化财政、金融、投融资、市场准入等其他领域改革。</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推进营商环境改革。对标世界银行评价体系，加大宣传力度、攻坚弱项指标、持续推进“五减”。持续加大融资贷款、办事服务等问题化解力度，扩大风险补偿基金“资金池”，加强</w:t>
      </w:r>
      <w:r>
        <w:rPr>
          <w:rStyle w:val="10"/>
          <w:rFonts w:eastAsia="方正仿宋_GBK"/>
          <w:b w:val="0"/>
          <w:sz w:val="32"/>
          <w:szCs w:val="32"/>
        </w:rPr>
        <w:t>全国中小企业融资综合信用服务平台</w:t>
      </w:r>
      <w:r>
        <w:rPr>
          <w:rStyle w:val="10"/>
          <w:rFonts w:hint="eastAsia" w:eastAsia="方正仿宋_GBK"/>
          <w:b w:val="0"/>
          <w:sz w:val="32"/>
          <w:szCs w:val="32"/>
        </w:rPr>
        <w:t>运用，探索“中标贷”试点，及早完成政务服务中心搬迁。认真执行《保障中小企业款项支付条例》，落实好“四上”企业直通车制度。深入推进“双随机、一公开”，逐步实现县级部门联合监管全覆盖。加强社会信用体系建设，提升全社会守信重诺水平。</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（六）提高对外开放水平，形成全方位开放发展格局</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深度融入国家重大战略和区域协同发展，实施更大范围、更宽领域、更深层次对外开放，提高对外开放水平。</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构建开放格局。积极对接“一带一路”和长江经济带、新时代西部大开发、西部陆海新通道等重大战略，全面融入成渝地区双城经济圈建设和“一区两群”协调发展，在交通基础设施、现代产业体系、生态环保治理等领域加强协作发展，唱好“双城记”、打好“三峡牌”、建好“城镇群”。加快打造“三峡库心</w:t>
      </w:r>
      <w:r>
        <w:rPr>
          <w:rStyle w:val="10"/>
          <w:rFonts w:hint="eastAsia" w:eastAsia="方正仿宋_GBK" w:cs="方正仿宋_GBK"/>
          <w:b w:val="0"/>
          <w:sz w:val="32"/>
          <w:szCs w:val="32"/>
        </w:rPr>
        <w:t>·</w:t>
      </w:r>
      <w:r>
        <w:rPr>
          <w:rStyle w:val="10"/>
          <w:rFonts w:hint="eastAsia" w:eastAsia="方正仿宋_GBK"/>
          <w:b w:val="0"/>
          <w:sz w:val="32"/>
          <w:szCs w:val="32"/>
        </w:rPr>
        <w:t>长江盆景”，启动皇华城考古遗址公园建设，提速推进忠县至石宝沿江旅游公路，开工建设独珠“江村”交通环线，推动石宝寨提档升级，建设游客集散中心。加强与广安、渠县等地合作，推动川东渝北区域一体化发展。</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拓展开放通道。主动融入国家及区域大通道，加快内畅外联步伐，着力构建“铁、公、水、空”无缝衔接的综合立体交通网络。开工建设渝万高铁忠县段、忠县站场及枢纽配套设施，推进广垫忠黔铁路、梁忠疏港铁路前期工作，争取将广垫忠黔铁路纳入国家专项规划，以及成渝地区双城经济圈共建项目“大盘子”。加快建设国道G350拔山服务区等项目，加速推进梁忠石高速公路、沿江高速北线等项目前期工作。新生港一期工程全部完工并正式开港运营。加快推进通用航空机场前期工作。</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加强开放平台建设。完善县工业园区配套设施，强化水、电、气等要素保障，加快推进忠信大道、D区安置房、10万平米标准厂房等续建项目，启动建设西部拓展区一期场平及道路、乌杨公用码头一期续建工程等项目，补齐园区教育、医疗等生活配套短板，提速打造“智慧园区”。推动新生港融入长江上游航运中心建设。积极创建市级高新区。</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提高开放型经济发展质量。积极承接东部地区产业转移，围绕四大产业集群延链补链强链，构建“洽谈一批、签约一批、开工一批、投产一批”的招商项目梯次推进格局，严格招商引资工作考核，力争全年协议引资300亿元、到位资金100亿元。面向成都、遂宁等地在电竞、教育、锂电等领域加强上下游配套项目合作，加大重庆望江职业技术学校迁入忠县的前期工作力度，打造“四川武胜—梁平—垫江—忠县”等“巴蜀乡愁”乡村旅游精品旅游专线。</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（七）深入实施创新驱动战略，全力推进科技创新</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坚持把创新作为引领发展的第一动力，推进以科技创新为核心的全面创新，将创新成果转化为发展动力，加快建设国家创新型县。</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培育创新主体。持续实施科技型企业培育“百千万工程”，强化企业创新主体地位，力争全年培育科技型企业50家、高新技术企业5家，规上工业企业R&amp;D投入达2亿元。指导极达鑫科技等企业开展数字装备普及行动，推动宇豪光学等企业建设数字化车间，支持海螺水泥无人矿山建设。壮大51社保等服务平台，以“平台经济”带动物联网为核心的智慧产业发展。支持骨干企业“上云”“上规”“上市”。</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建强创新平台。加快建设智慧柑橘创新研究中心，积极创建忠县柑橘人工智能试验区，加快推进柑橘产业国际协同创新中心建设。引导骨干企业加快研发机构建设，促进新产品开发提高企业自主创新能力。统筹全县大数据平台建设，加强全县通讯基础设施和5G实验区建设。依托重庆数字经济（电竞）产业示范园，探索同成都、两江新区建立共性技术支撑平台。培养培训重点领域急需紧缺和骨干专业人才50人。</w:t>
      </w:r>
    </w:p>
    <w:p>
      <w:pPr>
        <w:spacing w:line="560" w:lineRule="exact"/>
        <w:ind w:firstLine="640" w:firstLineChars="200"/>
        <w:rPr>
          <w:rStyle w:val="10"/>
          <w:rFonts w:eastAsia="方正楷体_GBK" w:cs="方正楷体_GBK"/>
          <w:b w:val="0"/>
          <w:sz w:val="32"/>
          <w:szCs w:val="32"/>
        </w:rPr>
      </w:pPr>
      <w:r>
        <w:rPr>
          <w:rStyle w:val="10"/>
          <w:rFonts w:hint="eastAsia" w:eastAsia="方正仿宋_GBK"/>
          <w:b w:val="0"/>
          <w:sz w:val="32"/>
          <w:szCs w:val="32"/>
        </w:rPr>
        <w:t>发展数字经济。加快推进2020年电子商务进农村综合示范项目（升级版）打造，启动万商国际电商产业园建设。培育壮大“柑橘网”，力争累计实现交易额40亿元，“忠橙”品牌价值达15亿元。加快打造电竞小镇，办好电竞赛事活动，积极推进重庆数字产业职业技术学院、电竞孵化园等项目建设。发展总部结算经济，力争税收达8亿元以上。全面推进“互联网+柑橘”出村进城试点县建设。</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（八）不断改善生态环境质量，筑牢长江上游生态屏障</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坚守绿色发展底线，扎实践行“绿水青山就是金山银山”理念，积极打造国家生态文明建设示范区。</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筑牢生态本底。着力推进三峡库区生态共建环境共保，加强库区消落带治理，加快推进</w:t>
      </w:r>
      <w:r>
        <w:rPr>
          <w:rStyle w:val="10"/>
          <w:rFonts w:hint="eastAsia" w:hAnsi="宋体" w:cs="宋体"/>
          <w:b w:val="0"/>
          <w:sz w:val="32"/>
          <w:szCs w:val="32"/>
        </w:rPr>
        <w:t>㽏</w:t>
      </w:r>
      <w:r>
        <w:rPr>
          <w:rStyle w:val="10"/>
          <w:rFonts w:hint="eastAsia" w:hAnsi="方正仿宋_GBK" w:eastAsia="方正仿宋_GBK" w:cs="方正仿宋_GBK"/>
          <w:b w:val="0"/>
          <w:sz w:val="32"/>
          <w:szCs w:val="32"/>
        </w:rPr>
        <w:t>井河生态调节堰项目前期工作。全面落实好</w:t>
      </w:r>
      <w:r>
        <w:rPr>
          <w:rStyle w:val="10"/>
          <w:rFonts w:hint="eastAsia" w:eastAsia="方正仿宋_GBK" w:cs="方正仿宋_GBK"/>
          <w:b w:val="0"/>
          <w:sz w:val="32"/>
          <w:szCs w:val="32"/>
        </w:rPr>
        <w:t>“</w:t>
      </w:r>
      <w:r>
        <w:rPr>
          <w:rStyle w:val="10"/>
          <w:rFonts w:hint="eastAsia" w:hAnsi="方正仿宋_GBK" w:eastAsia="方正仿宋_GBK" w:cs="方正仿宋_GBK"/>
          <w:b w:val="0"/>
          <w:sz w:val="32"/>
          <w:szCs w:val="32"/>
        </w:rPr>
        <w:t>河长制</w:t>
      </w:r>
      <w:r>
        <w:rPr>
          <w:rStyle w:val="10"/>
          <w:rFonts w:hint="eastAsia" w:eastAsia="方正仿宋_GBK" w:cs="方正仿宋_GBK"/>
          <w:b w:val="0"/>
          <w:sz w:val="32"/>
          <w:szCs w:val="32"/>
        </w:rPr>
        <w:t>”</w:t>
      </w:r>
      <w:r>
        <w:rPr>
          <w:rStyle w:val="10"/>
          <w:rFonts w:hint="eastAsia" w:hAnsi="方正仿宋_GBK" w:eastAsia="方正仿宋_GBK" w:cs="方正仿宋_GBK"/>
          <w:b w:val="0"/>
          <w:sz w:val="32"/>
          <w:szCs w:val="32"/>
        </w:rPr>
        <w:t>和</w:t>
      </w:r>
      <w:r>
        <w:rPr>
          <w:rStyle w:val="10"/>
          <w:rFonts w:hint="eastAsia" w:eastAsia="方正仿宋_GBK" w:cs="方正仿宋_GBK"/>
          <w:b w:val="0"/>
          <w:sz w:val="32"/>
          <w:szCs w:val="32"/>
        </w:rPr>
        <w:t>“</w:t>
      </w:r>
      <w:r>
        <w:rPr>
          <w:rStyle w:val="10"/>
          <w:rFonts w:hint="eastAsia" w:hAnsi="方正仿宋_GBK" w:eastAsia="方正仿宋_GBK" w:cs="方正仿宋_GBK"/>
          <w:b w:val="0"/>
          <w:sz w:val="32"/>
          <w:szCs w:val="32"/>
        </w:rPr>
        <w:t>林长制</w:t>
      </w:r>
      <w:r>
        <w:rPr>
          <w:rStyle w:val="10"/>
          <w:rFonts w:hint="eastAsia" w:eastAsia="方正仿宋_GBK" w:cs="方正仿宋_GBK"/>
          <w:b w:val="0"/>
          <w:sz w:val="32"/>
          <w:szCs w:val="32"/>
        </w:rPr>
        <w:t>”</w:t>
      </w:r>
      <w:r>
        <w:rPr>
          <w:rStyle w:val="10"/>
          <w:rFonts w:hint="eastAsia" w:hAnsi="方正仿宋_GBK" w:eastAsia="方正仿宋_GBK" w:cs="方正仿宋_GBK"/>
          <w:b w:val="0"/>
          <w:sz w:val="32"/>
          <w:szCs w:val="32"/>
        </w:rPr>
        <w:t>，贯彻执行生态补偿机制，抓好长江禁捕退捕后续工作，保护利用好长江、东溪河等城市水体。抓好造林绿化工作，实施营造林</w:t>
      </w:r>
      <w:r>
        <w:rPr>
          <w:rStyle w:val="10"/>
          <w:rFonts w:hint="eastAsia" w:eastAsia="方正仿宋_GBK"/>
          <w:b w:val="0"/>
          <w:sz w:val="32"/>
          <w:szCs w:val="32"/>
        </w:rPr>
        <w:t>6万亩。</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加强污染防治。深入打好污染防治攻坚战，统筹推进大气、水、土壤、噪声等生态环境治理与修复，力争蓝天、碧水、净土保卫战取得明显成效，空气质量优良天数340天以上，断面水质稳定达标，城市水源地水质达标率100%，乡镇集中式饮用水水源地水质达标率达90%以上。加强农业面源污染防治。</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推动绿色发展。大力提倡“光盘行动”，树立“绿色出行”理念，践行低碳环保的生活方式。推动企业节能改造，加大工业企业技改力度，稳步降低能耗。加强节约用水管理，提高全民节水意识。积极推进节约型机关建设，引导全县党政机关向勤俭节约、绿色低碳、文明健康的方向发展。</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（九）加快提升民生福祉，努力创造高品质生活</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践行以人民为中心的发展理念，建强社会保障体系，改善人民生活品质，提高社会建设水平，保持社会大局和谐稳定。</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推进社会事业建设。落实高校毕业生、贫困劳动力等重点群体就业帮扶。启动全国学前教育普及普惠县、义务教育优质均衡县、重庆市社区教育示范区创建工作。建成乌杨新区中学、苏家小学、忠州三小等学校，创建市级智慧校园示范学校2所。推进县人民医院乌杨分院建设项目前期工作，建成县人民医院拔山分院。深入推进“纵联横合”医共体建设，做实“一融三通”，实现县域内就诊率稳定在90%以上，基层首诊率达70%以上。完善全民健身服务体系，举办大型体育赛事活动10场次以上。</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做好民生保障。持续推进社区居家养老服务全覆盖，建成区域性特困供养中心1个、乡镇养老服务中心7个、村级养老互助点49个，完成失能老人集中养护中心、博爱佳园二期城企联动普惠养老项目前期工作。加大医养结合力度，确保养老机构提供医疗卫生服务比例达88%。稳步提升医疗保障待遇水平，城乡居民医疗保险参保率稳定在95%以上。财政民生支出保持在65%以上。改革完善社会救助制度，依法落实抚恤补助优待政策，深化退役军人服务保障体系建设。加快安置房项目建设，力争早日实现交付使用。</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深化社会治理。严格落实意识形态工作责任制，建设清朗网络空间。深化“六张防控网”建设，强化社会风险源头治理，全力预防和处置群体性事件。推进全面依法治县向纵深发展，健全完善自治、法治、德治相结合的城乡治理体系。加强人民调解员队伍建设，加大矛盾纠纷排查化解力度。推动企业安全生产主体责任落实，坚决遏制较大以上安全事故发生。抓好防灾减灾基础性工作，织密灾害防治基础防线，提升防灾减灾救灾能力。</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常态化抓好疫情防控。抓紧抓细抓实各项防控措施和各个重点环节，健全常态化防控机制。持续加大重点场所、重点人群管控力度，强化进口冷冻肉制品和水产品等重点食品行业监管。完善重大疫情医疗保障机制，提升医疗服务能力和服务环境。有序开展新冠肺炎疫苗接种工作。</w:t>
      </w: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sectPr>
      <w:footerReference r:id="rId3" w:type="default"/>
      <w:footerReference r:id="rId4" w:type="even"/>
      <w:pgSz w:w="11906" w:h="16838"/>
      <w:pgMar w:top="2098" w:right="1531" w:bottom="1985" w:left="1531"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591"/>
      <w:docPartObj>
        <w:docPartGallery w:val="autotext"/>
      </w:docPartObj>
    </w:sdtPr>
    <w:sdtContent>
      <w:p>
        <w:pPr>
          <w:pStyle w:val="4"/>
          <w:numPr>
            <w:ilvl w:val="0"/>
            <w:numId w:val="1"/>
          </w:numPr>
          <w:wordWrap w:val="0"/>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605"/>
      <w:docPartObj>
        <w:docPartGallery w:val="autotext"/>
      </w:docPartObj>
    </w:sdtPr>
    <w:sdtContent>
      <w:p>
        <w:pPr>
          <w:pStyle w:val="4"/>
          <w:numPr>
            <w:ilvl w:val="0"/>
            <w:numId w:val="2"/>
          </w:num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875A29"/>
    <w:multiLevelType w:val="multilevel"/>
    <w:tmpl w:val="6B875A29"/>
    <w:lvl w:ilvl="0" w:tentative="0">
      <w:start w:val="1"/>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D774E08"/>
    <w:multiLevelType w:val="multilevel"/>
    <w:tmpl w:val="6D774E08"/>
    <w:lvl w:ilvl="0" w:tentative="0">
      <w:start w:val="2"/>
      <w:numFmt w:val="bullet"/>
      <w:lvlText w:val="—"/>
      <w:lvlJc w:val="left"/>
      <w:pPr>
        <w:ind w:left="540" w:hanging="360"/>
      </w:pPr>
      <w:rPr>
        <w:rFonts w:hint="eastAsia" w:ascii="宋体" w:hAnsi="宋体" w:eastAsia="宋体" w:cs="Times New Roman"/>
        <w:sz w:val="28"/>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NjYzA2YTkyYWM2MGMyMDQ2ZTJjMjEyNWI1MjdmZGQifQ=="/>
  </w:docVars>
  <w:rsids>
    <w:rsidRoot w:val="003536CF"/>
    <w:rsid w:val="000A3631"/>
    <w:rsid w:val="001A3E7A"/>
    <w:rsid w:val="00203DDF"/>
    <w:rsid w:val="003536CF"/>
    <w:rsid w:val="00456CF9"/>
    <w:rsid w:val="00494212"/>
    <w:rsid w:val="00666A3A"/>
    <w:rsid w:val="007577F8"/>
    <w:rsid w:val="00A379DA"/>
    <w:rsid w:val="00A67F58"/>
    <w:rsid w:val="00AF6EB7"/>
    <w:rsid w:val="00CC6301"/>
    <w:rsid w:val="00E022A7"/>
    <w:rsid w:val="00F81297"/>
    <w:rsid w:val="00FF61C4"/>
    <w:rsid w:val="1E262E31"/>
    <w:rsid w:val="20407359"/>
    <w:rsid w:val="4A7F3532"/>
    <w:rsid w:val="50772F2D"/>
    <w:rsid w:val="6F09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99"/>
    <w:pPr>
      <w:keepNext/>
      <w:keepLines/>
      <w:spacing w:before="260" w:after="260" w:line="416" w:lineRule="auto"/>
      <w:outlineLvl w:val="1"/>
    </w:pPr>
    <w:rPr>
      <w:rFonts w:ascii="Calibri Light" w:hAnsi="Calibri Light"/>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jc w:val="left"/>
    </w:pPr>
    <w:rPr>
      <w:kern w:val="0"/>
      <w:sz w:val="24"/>
    </w:rPr>
  </w:style>
  <w:style w:type="table" w:styleId="8">
    <w:name w:val="Table Grid"/>
    <w:basedOn w:val="7"/>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qFormat/>
    <w:uiPriority w:val="0"/>
    <w:rPr>
      <w:sz w:val="18"/>
      <w:szCs w:val="18"/>
    </w:rPr>
  </w:style>
  <w:style w:type="character" w:customStyle="1" w:styleId="14">
    <w:name w:val="标题 2 Char"/>
    <w:basedOn w:val="9"/>
    <w:link w:val="2"/>
    <w:qFormat/>
    <w:uiPriority w:val="99"/>
    <w:rPr>
      <w:rFonts w:ascii="Calibri Light" w:hAnsi="Calibri Light" w:eastAsia="宋体" w:cs="Times New Roman"/>
      <w:b/>
      <w:bCs/>
      <w:sz w:val="32"/>
      <w:szCs w:val="32"/>
    </w:rPr>
  </w:style>
  <w:style w:type="paragraph" w:customStyle="1" w:styleId="15">
    <w:name w:val="p0"/>
    <w:basedOn w:val="1"/>
    <w:qFormat/>
    <w:uiPriority w:val="0"/>
    <w:pPr>
      <w:widowControl/>
    </w:pPr>
    <w:rPr>
      <w:kern w:val="0"/>
      <w:szCs w:val="21"/>
    </w:rPr>
  </w:style>
  <w:style w:type="character" w:customStyle="1" w:styleId="16">
    <w:name w:val="批注框文本 Char"/>
    <w:basedOn w:val="9"/>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5919;&#242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政府模板</Template>
  <Company>Microsoft</Company>
  <Pages>23</Pages>
  <Words>11694</Words>
  <Characters>12488</Characters>
  <Lines>94</Lines>
  <Paragraphs>26</Paragraphs>
  <TotalTime>1</TotalTime>
  <ScaleCrop>false</ScaleCrop>
  <LinksUpToDate>false</LinksUpToDate>
  <CharactersWithSpaces>12545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2021-03-09T08:24:00Z</dcterms:created>
  <dc:creator>PC</dc:creator>
  <cp:lastModifiedBy>何玉彬</cp:lastModifiedBy>
  <dcterms:modified xsi:type="dcterms:W3CDTF">2025-04-25T01:00:38Z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0C6BBECD66244F2EBB1D0F6FEDA1164F</vt:lpwstr>
  </property>
</Properties>
</file>