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 县 人 民 政 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关于印发忠县集体土地征收补偿安置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实施办法的通知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忠府发〔2021〕14号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《忠县集体土地征收补偿安置实施办法》已经县政府第160次常务会议审议通过，现印发给你们，请认真贯彻执行。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Times New Roman" w:hAnsi="Times New Roman" w:eastAsia="方正仿宋_GBK" w:cs="Times New Roman"/>
          <w:i w:val="0"/>
          <w:caps w:val="0"/>
          <w:color w:val="000000"/>
          <w:spacing w:val="0"/>
          <w:sz w:val="32"/>
          <w:szCs w:val="32"/>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忠县人民政府</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outlineLvl w:val="9"/>
        <w:rPr>
          <w:rFonts w:hint="eastAsia"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shd w:val="clear" w:fill="FFFFFF"/>
        </w:rPr>
        <w:t>2021年6月29</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（此件公开发布）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忠县集体土地征收补偿安置实施办法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第一条</w:t>
      </w:r>
      <w:r>
        <w:rPr>
          <w:rFonts w:hint="default" w:ascii="Times New Roman" w:hAnsi="Times New Roman" w:eastAsia="方正仿宋_GBK" w:cs="Times New Roman"/>
          <w:i w:val="0"/>
          <w:caps w:val="0"/>
          <w:color w:val="000000"/>
          <w:spacing w:val="0"/>
          <w:sz w:val="32"/>
          <w:szCs w:val="32"/>
          <w:shd w:val="clear" w:fill="FFFFFF"/>
        </w:rPr>
        <w:t> 为规范本县农民集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结合本县实际，制定本实施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default" w:ascii="Times New Roman" w:hAnsi="Times New Roman" w:eastAsia="方正仿宋_GBK" w:cs="Times New Roman"/>
          <w:i w:val="0"/>
          <w:caps w:val="0"/>
          <w:color w:val="000000"/>
          <w:spacing w:val="0"/>
          <w:sz w:val="32"/>
          <w:szCs w:val="32"/>
          <w:shd w:val="clear" w:fill="FFFFFF"/>
        </w:rPr>
        <w:t> 本县行政区域内集体土地征收的补偿、人员安置和住房安置，适用本实施办法。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 </w:t>
      </w:r>
      <w:r>
        <w:rPr>
          <w:rFonts w:hint="default" w:ascii="Times New Roman" w:hAnsi="Times New Roman" w:eastAsia="方正仿宋_GBK" w:cs="Times New Roman"/>
          <w:i w:val="0"/>
          <w:caps w:val="0"/>
          <w:color w:val="000000"/>
          <w:spacing w:val="0"/>
          <w:sz w:val="32"/>
          <w:szCs w:val="32"/>
          <w:shd w:val="clear" w:fill="FFFFFF"/>
        </w:rPr>
        <w:t>县人民政府负责本行政区域内集体土地征收补偿安置的组织实施工作。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规划自然资源部门负责对集体土地征收补偿安置具体实施的事务性工作进行管理和监督。县土地征收中心承担本行政区域内集体土地征收补偿安置实施的事务性工作，指导乡镇人民政府（街道办事处）开展辖区内的集体土地征收补偿安置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县人力社保局负责征地安置人员的基本养老保险和促进就业工作。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县公安局负责被征地农村集体经济组织所在地居民户口信息提供和审核工作。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县农业农村委负责征地涉及的农村土地承包经营及承包经营合同管理，农村集体资产管理的指导、协调和监督及农村宅基地管理工作。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县财政、住房城乡建设、民政等部门，按照各自职责做好集体土地征收补偿安置的相关工作。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乡镇人民政府（街道办事处）按照县人民政府的要求，负责辖区内集体土地征收补偿安置的相关工作。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b w:val="0"/>
          <w:bCs w:val="0"/>
          <w:i w:val="0"/>
          <w:caps w:val="0"/>
          <w:color w:val="000000"/>
          <w:spacing w:val="0"/>
          <w:sz w:val="32"/>
          <w:szCs w:val="32"/>
          <w:shd w:val="clear" w:fill="FFFFFF"/>
        </w:rPr>
      </w:pPr>
      <w:r>
        <w:rPr>
          <w:rFonts w:hint="default" w:ascii="黑体" w:hAnsi="黑体" w:eastAsia="黑体" w:cs="黑体"/>
          <w:b w:val="0"/>
          <w:bCs w:val="0"/>
          <w:i w:val="0"/>
          <w:caps w:val="0"/>
          <w:color w:val="000000"/>
          <w:spacing w:val="0"/>
          <w:sz w:val="32"/>
          <w:szCs w:val="32"/>
          <w:shd w:val="clear" w:fill="FFFFFF"/>
        </w:rPr>
        <w:t>第二章 征地补偿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征收集体土地应当依法及时足额支付土地补偿费、安置补助费以及农村房屋、其他地上附着物和青苗等的补偿费用。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征收农用地、建设用地和未利用地的土地补偿费和安置补助费，不分地类，按照市人民政府制定公布的区片综合地价标准乘以被征收土地面积计算。区片综合地价中，土地补偿费占30%，安置补助费占70%。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本县行政区域范围内，区片综合地价标准按照附件1执行。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第六条 </w:t>
      </w:r>
      <w:r>
        <w:rPr>
          <w:rFonts w:hint="default" w:ascii="Times New Roman" w:hAnsi="Times New Roman" w:eastAsia="方正仿宋_GBK" w:cs="Times New Roman"/>
          <w:i w:val="0"/>
          <w:caps w:val="0"/>
          <w:color w:val="000000"/>
          <w:spacing w:val="0"/>
          <w:sz w:val="32"/>
          <w:szCs w:val="32"/>
          <w:shd w:val="clear" w:fill="FFFFFF"/>
        </w:rPr>
        <w:t>被征收土地的土地补偿费，按照市人民政府制定公布的土地补偿费标准（区片综合地价的30%）乘以农村集体经济组织被征收土地面积计算。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土地补偿费由县土地征收中心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第七条 </w:t>
      </w:r>
      <w:r>
        <w:rPr>
          <w:rFonts w:hint="default" w:ascii="Times New Roman" w:hAnsi="Times New Roman" w:eastAsia="方正仿宋_GBK" w:cs="Times New Roman"/>
          <w:i w:val="0"/>
          <w:caps w:val="0"/>
          <w:color w:val="000000"/>
          <w:spacing w:val="0"/>
          <w:sz w:val="32"/>
          <w:szCs w:val="32"/>
          <w:shd w:val="clear" w:fill="FFFFFF"/>
        </w:rPr>
        <w:t>被征收土地的安置补助费，按照市人民政府制定公布的安置补助费标准（区片综合地价的70%）乘以农村集体经济组织被征收土地面积计算。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安置补助费由县土地征收中心按照36000元/人的发放标准支付给人员安置对象。前款计算的安置补助费支付后有结余的，结余部分交由农村集体经济组织依法管理和使用；不足的，由县人民政府安排资金予以补足。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农村房屋以合法建筑面积为准，按照重置价格标准补偿（见附件2）。</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房屋的合法建筑面积以不动产权属证书或合法建房手续为依据，由县人民政府组织规划自然资源、农业农村、城市管理等部门和乡镇人民政府（街道办事处）依法予以认定。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第九条</w:t>
      </w:r>
      <w:r>
        <w:rPr>
          <w:rFonts w:hint="default" w:ascii="Times New Roman" w:hAnsi="Times New Roman" w:eastAsia="方正仿宋_GBK" w:cs="Times New Roman"/>
          <w:i w:val="0"/>
          <w:caps w:val="0"/>
          <w:color w:val="000000"/>
          <w:spacing w:val="0"/>
          <w:sz w:val="32"/>
          <w:szCs w:val="32"/>
          <w:shd w:val="clear" w:fill="FFFFFF"/>
        </w:rPr>
        <w:t> 被搬迁房屋的装修装饰按照附件3规定的标准予以补助。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第十条</w:t>
      </w:r>
      <w:r>
        <w:rPr>
          <w:rFonts w:hint="default" w:ascii="Times New Roman" w:hAnsi="Times New Roman" w:eastAsia="方正仿宋_GBK" w:cs="Times New Roman"/>
          <w:i w:val="0"/>
          <w:caps w:val="0"/>
          <w:color w:val="000000"/>
          <w:spacing w:val="0"/>
          <w:sz w:val="32"/>
          <w:szCs w:val="32"/>
          <w:shd w:val="clear" w:fill="FFFFFF"/>
        </w:rPr>
        <w:t> 本办法所称其他地上附着物，是指除房屋外的建筑物、构筑物以及林木、果园和其他经济作物等；青苗，是指土地上生长的农作物。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青苗和林木补偿，以被征收土地面积扣除成片果园、建设用地和农村道路后的面积为准计算，青苗补偿标准为2200元/亩，林木补偿标准为4300元/亩，其他地上（构）附着物实行据实清点补偿，补偿标准按照附件4执行。以农村集体经济组织为单位计算，补偿标准低于8000元/亩的，按8000元/亩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其他经济作物（不含成片果园）实行综合定额补偿，标准为8000元/亩，其他地上（构）附着物实行据实清点补偿，补偿标准按照附件4执行。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成片果园补偿标准按照附件5执行。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征收林地的林木及附着物的补偿标准，按照国家和本市征收林地的有关规定执行，补偿标准低于综合定额标准的，按照综合定额标准进行补偿。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第十一条</w:t>
      </w:r>
      <w:r>
        <w:rPr>
          <w:rFonts w:hint="default" w:ascii="Times New Roman" w:hAnsi="Times New Roman" w:eastAsia="方正仿宋_GBK" w:cs="Times New Roman"/>
          <w:i w:val="0"/>
          <w:caps w:val="0"/>
          <w:color w:val="000000"/>
          <w:spacing w:val="0"/>
          <w:sz w:val="32"/>
          <w:szCs w:val="32"/>
          <w:shd w:val="clear" w:fill="FFFFFF"/>
        </w:rPr>
        <w:t> 有下列情形之一的，不予补偿：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（一）违法建（构）筑物；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（二）已拆除的房屋、房屋已垮塌的部分；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（三）县人民政府发布征收土地预公告后栽种的青苗及花草、树木等附着物；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（四）其他不当增加补偿费用的情形。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第十二条</w:t>
      </w:r>
      <w:r>
        <w:rPr>
          <w:rFonts w:hint="default" w:ascii="Times New Roman" w:hAnsi="Times New Roman" w:eastAsia="方正仿宋_GBK" w:cs="Times New Roman"/>
          <w:i w:val="0"/>
          <w:caps w:val="0"/>
          <w:color w:val="000000"/>
          <w:spacing w:val="0"/>
          <w:sz w:val="32"/>
          <w:szCs w:val="32"/>
          <w:shd w:val="clear" w:fill="FFFFFF"/>
        </w:rPr>
        <w:t> 征收土地预公告发布之日，持有合法证照且从事生产经营活动的，应当综合考虑生产经营年限、规模、类别、搬迁损失、搬迁难易度等因素，对生产经营者一次性给予搬迁补助费。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（一）工业企业类。一次性搬迁补助费按所搬迁设施设备评估净值的20%计算，搬迁后丧失使用价值的，按照设施设备评估净值计算。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（二）农业产业类。规模化经济作物种植、畜禽养殖和水产养殖的，一次性搬迁补助费按附件6执行。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（三）商业服务类。一次性搬迁补助费按照实际用于商服经营房屋建筑面积计算，标准为200元/平方米。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为生产经营安装的水、电、气等设施按实际安装费用补偿，无法提供实际安装发票的，按搬迁时相应行业主管部门的安装价格补偿。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center"/>
        <w:textAlignment w:val="auto"/>
        <w:outlineLvl w:val="9"/>
        <w:rPr>
          <w:rFonts w:hint="default" w:ascii="黑体" w:hAnsi="黑体" w:eastAsia="黑体" w:cs="黑体"/>
          <w:b w:val="0"/>
          <w:bCs w:val="0"/>
          <w:i w:val="0"/>
          <w:caps w:val="0"/>
          <w:color w:val="000000"/>
          <w:spacing w:val="0"/>
          <w:sz w:val="32"/>
          <w:szCs w:val="32"/>
          <w:shd w:val="clear" w:fill="FFFFFF"/>
        </w:rPr>
      </w:pPr>
      <w:r>
        <w:rPr>
          <w:rFonts w:hint="default" w:ascii="黑体" w:hAnsi="黑体" w:eastAsia="黑体" w:cs="黑体"/>
          <w:b w:val="0"/>
          <w:bCs w:val="0"/>
          <w:i w:val="0"/>
          <w:caps w:val="0"/>
          <w:color w:val="000000"/>
          <w:spacing w:val="0"/>
          <w:sz w:val="32"/>
          <w:szCs w:val="32"/>
          <w:shd w:val="clear" w:fill="FFFFFF"/>
        </w:rPr>
        <w:t>第三章 人员安置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第十三条</w:t>
      </w:r>
      <w:r>
        <w:rPr>
          <w:rFonts w:hint="default" w:ascii="Times New Roman" w:hAnsi="Times New Roman" w:eastAsia="方正仿宋_GBK" w:cs="Times New Roman"/>
          <w:i w:val="0"/>
          <w:caps w:val="0"/>
          <w:color w:val="000000"/>
          <w:spacing w:val="0"/>
          <w:sz w:val="32"/>
          <w:szCs w:val="32"/>
          <w:shd w:val="clear" w:fill="FFFFFF"/>
        </w:rPr>
        <w:t> 本办法所称人员安置对象应当从征收土地预公告之日计入被征地农村集体经济组织总人口的人员中产生。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下列人员计入被征地农村集体经济组织总人口：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（一）户口登记在被征地农村集体经济组织所在地，且取得该农村集体经济组织土地承包经营权的人员；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（二）因出生、政策性移民将户口登记在被征地农村集体经济组织所在地，且依法享有该农村集体经济组织土地承包经营权的人员；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（三）因合法收养、合法婚姻将户口从其他农村集体经济组织迁入并长期在被征地农村集体经济组织生产生活，且依法享有被征地农村集体经济组织土地承包经营权的人员；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（四）依法享有被征地农村集体经济组织土地承包经营权的在校大中专学生、现役军士和义务兵、儿童福利机构孤儿、服刑人员；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（五）按照本市统筹城乡户籍制度改革有关规定保留征地补偿安置权利的人员；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（六）因其他原因，户口从被征地农村集体经济组织所在地迁出进城落户，但长期在被征地农村集体经济组织生产生活，且取得该农村集体经济组织土地承包经营权的人员。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前款所称“长期”，是指县人民政府发布征收土地预公告之日，在被征地农村集体经济组织连续生产生活1年以上（离婚后再婚配偶及随迁子女在被征地农村集体经济组织连续生产生活3年以上）。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符合本办法第十三条规定但有下列情形之一的人员，不计入被征地农村集体经济组织总人口：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（一）征地前已实行征地人员安置的人员；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（二）国家机关、人民团体、事业单位等在编在职和退休人员。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第十五条</w:t>
      </w:r>
      <w:r>
        <w:rPr>
          <w:rFonts w:hint="default" w:ascii="Times New Roman" w:hAnsi="Times New Roman" w:eastAsia="方正仿宋_GBK" w:cs="Times New Roman"/>
          <w:i w:val="0"/>
          <w:caps w:val="0"/>
          <w:color w:val="000000"/>
          <w:spacing w:val="0"/>
          <w:sz w:val="32"/>
          <w:szCs w:val="32"/>
          <w:shd w:val="clear" w:fill="FFFFFF"/>
        </w:rPr>
        <w:t> 农村集体经济组织的土地被全部征收的，按照本办法计入被征地农村集体经济组织总人口的人员全部为人员安置对象。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第十六条</w:t>
      </w:r>
      <w:r>
        <w:rPr>
          <w:rFonts w:hint="default" w:ascii="Times New Roman" w:hAnsi="Times New Roman" w:eastAsia="方正仿宋_GBK" w:cs="Times New Roman"/>
          <w:i w:val="0"/>
          <w:caps w:val="0"/>
          <w:color w:val="000000"/>
          <w:spacing w:val="0"/>
          <w:sz w:val="32"/>
          <w:szCs w:val="32"/>
          <w:shd w:val="clear" w:fill="FFFFFF"/>
        </w:rPr>
        <w:t> 具体的人员安置对象由被征地农村集体经济组织按照农户被征地多少和剩余耕地情况在农村集体经济组织总人口中确定。乡镇人民政府（街道办事处）应按以下原则指导农村集体经济组织确定人员安置对象，按照本办法第十五条规定计算的人员安置对象人数，全部落实到具体人员：征收家庭承包土地产生的人员安置对象人数，按照被征收耕地数量在被征地农户中从高到低依次确定；征收未发包土地或者其他方式承包土地产生的人员安置对象人数，由农村集体经济组织会议讨论确定具体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具体的人员安置对象经农村集体经济组织公示7日无异议后，报乡镇人民政府（街道办事处）初审，县土地征收中心会同县规划自然资源、人力社保、公安、农业农村等部门复核，县人民政府核准。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第十七条</w:t>
      </w:r>
      <w:r>
        <w:rPr>
          <w:rFonts w:hint="default" w:ascii="Times New Roman" w:hAnsi="Times New Roman" w:eastAsia="方正仿宋_GBK" w:cs="Times New Roman"/>
          <w:i w:val="0"/>
          <w:caps w:val="0"/>
          <w:color w:val="000000"/>
          <w:spacing w:val="0"/>
          <w:sz w:val="32"/>
          <w:szCs w:val="32"/>
          <w:shd w:val="clear" w:fill="FFFFFF"/>
        </w:rPr>
        <w:t> 县人民政府应当将符合条件的人员安置对象纳入相应的养老等社会保障体系，并安排人员安置对象的社会保障费用，主要用于人员安置对象的养老保险等社会保险缴费补贴。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人员安置对象的基本养老保险缴费补贴办法及标准，按照市人民政府有关规定执行。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第十八条</w:t>
      </w:r>
      <w:r>
        <w:rPr>
          <w:rFonts w:hint="default" w:ascii="Times New Roman" w:hAnsi="Times New Roman" w:eastAsia="方正仿宋_GBK" w:cs="Times New Roman"/>
          <w:i w:val="0"/>
          <w:caps w:val="0"/>
          <w:color w:val="000000"/>
          <w:spacing w:val="0"/>
          <w:sz w:val="32"/>
          <w:szCs w:val="32"/>
          <w:shd w:val="clear" w:fill="FFFFFF"/>
        </w:rPr>
        <w:t> 县人力社保部门应当将劳动力年龄段内有劳动能力、有就业需求的人员安置对象纳入公共就业服务范围，组织开展就业创业服务活动，促进其就业创业。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b w:val="0"/>
          <w:bCs w:val="0"/>
          <w:i w:val="0"/>
          <w:caps w:val="0"/>
          <w:color w:val="000000"/>
          <w:spacing w:val="0"/>
          <w:sz w:val="32"/>
          <w:szCs w:val="32"/>
          <w:shd w:val="clear" w:fill="FFFFFF"/>
        </w:rPr>
      </w:pPr>
      <w:r>
        <w:rPr>
          <w:rFonts w:hint="default" w:ascii="黑体" w:hAnsi="黑体" w:eastAsia="黑体" w:cs="黑体"/>
          <w:b w:val="0"/>
          <w:bCs w:val="0"/>
          <w:i w:val="0"/>
          <w:caps w:val="0"/>
          <w:color w:val="000000"/>
          <w:spacing w:val="0"/>
          <w:sz w:val="32"/>
          <w:szCs w:val="32"/>
          <w:shd w:val="clear" w:fill="FFFFFF"/>
        </w:rPr>
        <w:t>第四章 住房安置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第十九条</w:t>
      </w:r>
      <w:r>
        <w:rPr>
          <w:rFonts w:hint="default" w:ascii="Times New Roman" w:hAnsi="Times New Roman" w:eastAsia="方正仿宋_GBK" w:cs="Times New Roman"/>
          <w:i w:val="0"/>
          <w:caps w:val="0"/>
          <w:color w:val="000000"/>
          <w:spacing w:val="0"/>
          <w:sz w:val="32"/>
          <w:szCs w:val="32"/>
          <w:shd w:val="clear" w:fill="FFFFFF"/>
        </w:rPr>
        <w:t> 农村集体经济组织的土地被全部征收的，按照本办法计入被征地农村集体经济组织总人口且享有被征地农村集体经济组织宅基地权利的人员全部为住房安置对象。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农村集体经济组织的土地被部分征收的，在征收土地预公告之日，持有征地范围内被搬迁住房的不动产权属证书或合法建房手续，且按照本办法计入被征地农村集体经济组织总人口的人员为住房安置对象。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征地前已实行征地人员安置但住房未被搬迁的人员，在其住房搬迁时纳入住房安置对象范围。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第二十条</w:t>
      </w:r>
      <w:r>
        <w:rPr>
          <w:rFonts w:hint="default" w:ascii="Times New Roman" w:hAnsi="Times New Roman" w:eastAsia="方正仿宋_GBK" w:cs="Times New Roman"/>
          <w:i w:val="0"/>
          <w:caps w:val="0"/>
          <w:color w:val="000000"/>
          <w:spacing w:val="0"/>
          <w:sz w:val="32"/>
          <w:szCs w:val="32"/>
          <w:shd w:val="clear" w:fill="FFFFFF"/>
        </w:rPr>
        <w:t> 符合本办法第十九条规定但有下列情形之一的人员，不属于住房安置对象：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（一）本办法施行前已实行征地住房安置的人员；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（二）已享受福利分房、划拨国有土地上自建房以及由单位修建并销售给职工的经济适用房等政策性实物住房的人员。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第二十一条 </w:t>
      </w:r>
      <w:r>
        <w:rPr>
          <w:rFonts w:hint="default" w:ascii="Times New Roman" w:hAnsi="Times New Roman" w:eastAsia="方正仿宋_GBK" w:cs="Times New Roman"/>
          <w:i w:val="0"/>
          <w:caps w:val="0"/>
          <w:color w:val="000000"/>
          <w:spacing w:val="0"/>
          <w:sz w:val="32"/>
          <w:szCs w:val="32"/>
          <w:shd w:val="clear" w:fill="FFFFFF"/>
        </w:rPr>
        <w:t>住房安置可以采取农村宅基地自建安置、安置房安置或者货币安置等方式。住房安置对象应当以户为单位统一选择一种安置方式，一处宅基地上的住房计为一户，即以不动产首次登记的或者合法建房手续批准的房屋作为计户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选择农村宅基地自建安置的，应当符合乡（镇）土地利用总体规划、村庄规划，以及国家和本市关于宅基地建房的有关规定。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住房安置对象采取安置房安置或者货币安置后，该户家庭成员不得再申请农村宅基地新建住房。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第二十二条</w:t>
      </w:r>
      <w:r>
        <w:rPr>
          <w:rFonts w:hint="default" w:ascii="Times New Roman" w:hAnsi="Times New Roman" w:eastAsia="方正仿宋_GBK" w:cs="Times New Roman"/>
          <w:i w:val="0"/>
          <w:caps w:val="0"/>
          <w:color w:val="000000"/>
          <w:spacing w:val="0"/>
          <w:sz w:val="32"/>
          <w:szCs w:val="32"/>
          <w:shd w:val="clear" w:fill="FFFFFF"/>
        </w:rPr>
        <w:t> 农村宅基地自建安置的，应当按照房屋重置价格标准的50%给予自建住房补助，同时按每人5000元的标准给予新宅基地补助。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第二十三条</w:t>
      </w:r>
      <w:r>
        <w:rPr>
          <w:rFonts w:hint="default" w:ascii="Times New Roman" w:hAnsi="Times New Roman" w:eastAsia="方正仿宋_GBK" w:cs="Times New Roman"/>
          <w:i w:val="0"/>
          <w:caps w:val="0"/>
          <w:color w:val="000000"/>
          <w:spacing w:val="0"/>
          <w:sz w:val="32"/>
          <w:szCs w:val="32"/>
          <w:shd w:val="clear" w:fill="FFFFFF"/>
        </w:rPr>
        <w:t> 安置房安置或者货币安置的，住房安置对象的住房安置建筑面积标准为每人30平方米。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第二十四条</w:t>
      </w:r>
      <w:r>
        <w:rPr>
          <w:rFonts w:hint="default" w:ascii="Times New Roman" w:hAnsi="Times New Roman" w:eastAsia="方正仿宋_GBK" w:cs="Times New Roman"/>
          <w:i w:val="0"/>
          <w:caps w:val="0"/>
          <w:color w:val="000000"/>
          <w:spacing w:val="0"/>
          <w:sz w:val="32"/>
          <w:szCs w:val="32"/>
          <w:shd w:val="clear" w:fill="FFFFFF"/>
        </w:rPr>
        <w:t> 住房安置对象夫妻双方均无子女的，实行安置房安置或者货币安置时，可以申请增加15平方米建筑面积的住房。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（一）县人民政府发布征收土地预公告之日，在被征地农村集体经济组织连续居住1年以上（离婚后再婚配偶及随迁子女在被征地农村集体经济组织连续居住3年以上）；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（二）征地前未实行征地住房安置；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（三）住房安置对象及其配偶、未成年子女均无商品房、农村住房和未享受过福利房、经济适用房、安置房等住房；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（四）不享有其他农村集体经济组织宅基地权利。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第二十五</w:t>
      </w:r>
      <w:r>
        <w:rPr>
          <w:rFonts w:hint="default" w:ascii="Times New Roman" w:hAnsi="Times New Roman" w:eastAsia="方正仿宋_GBK" w:cs="Times New Roman"/>
          <w:i w:val="0"/>
          <w:caps w:val="0"/>
          <w:color w:val="000000"/>
          <w:spacing w:val="0"/>
          <w:sz w:val="32"/>
          <w:szCs w:val="32"/>
          <w:shd w:val="clear" w:fill="FFFFFF"/>
        </w:rPr>
        <w:t>条 安置房安置的，应安置建筑面积的部分，按照砖混结构房屋的重置价格标准（870元/平方米）购买。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县住房城乡建设部门会同规划自然资源部门核定并予公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因户型设计、住房安置对象意愿等原因，购买安置房未达到应安置建筑面积的，不足部分按照住房货币安置价格标准支付给住房安置对象。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州街道、白公街道、东溪镇、复兴镇、乌杨街道、新生街道城市（镇）规划建设用地范围内采取安置房安置的，对被搬迁房屋合法建筑面积超过应安置建筑面积的部分给予补助，补助标准为：忠州街道、白公街道城市规划建设用地范围内每平方米2520元，东溪镇、复兴镇、乌杨街道、新生街道城市（镇）规划建设用地范围内每平方米520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第二十六条</w:t>
      </w:r>
      <w:r>
        <w:rPr>
          <w:rFonts w:hint="default" w:ascii="Times New Roman" w:hAnsi="Times New Roman" w:eastAsia="方正仿宋_GBK" w:cs="Times New Roman"/>
          <w:i w:val="0"/>
          <w:caps w:val="0"/>
          <w:color w:val="000000"/>
          <w:spacing w:val="0"/>
          <w:sz w:val="32"/>
          <w:szCs w:val="32"/>
          <w:shd w:val="clear" w:fill="FFFFFF"/>
        </w:rPr>
        <w:t> 安置房应当在国有土地上建设。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安置房建设单位应当安排安置房的建设资金、首期物业专项维修资金以及居民用电、自来水、天然气、有线电视的安装费用。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第二十七条</w:t>
      </w:r>
      <w:r>
        <w:rPr>
          <w:rFonts w:hint="default" w:ascii="Times New Roman" w:hAnsi="Times New Roman" w:eastAsia="方正仿宋_GBK" w:cs="Times New Roman"/>
          <w:i w:val="0"/>
          <w:caps w:val="0"/>
          <w:color w:val="000000"/>
          <w:spacing w:val="0"/>
          <w:sz w:val="32"/>
          <w:szCs w:val="32"/>
          <w:shd w:val="clear" w:fill="FFFFFF"/>
        </w:rPr>
        <w:t> 住房货币安置的，货币安置款额等于住房货币安置价格标准乘以应安置建筑面积。住房货币安置价格标准详见附件7。</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住房货币安置的，按被搬迁房屋合法建筑面积给予每平方米200元的货币安置补助。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第二十八条</w:t>
      </w:r>
      <w:r>
        <w:rPr>
          <w:rFonts w:hint="default" w:ascii="Times New Roman" w:hAnsi="Times New Roman" w:eastAsia="方正仿宋_GBK" w:cs="Times New Roman"/>
          <w:i w:val="0"/>
          <w:caps w:val="0"/>
          <w:color w:val="000000"/>
          <w:spacing w:val="0"/>
          <w:sz w:val="32"/>
          <w:szCs w:val="32"/>
          <w:shd w:val="clear" w:fill="FFFFFF"/>
        </w:rPr>
        <w:t> 住房安置对象合法拥有两处以上（含两处）农村住房的，只在其享有宅基地权利的住房被搬迁时安置1次住房，不得重复安置住房。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第二十九条 </w:t>
      </w:r>
      <w:r>
        <w:rPr>
          <w:rFonts w:hint="default" w:ascii="Times New Roman" w:hAnsi="Times New Roman" w:eastAsia="方正仿宋_GBK" w:cs="Times New Roman"/>
          <w:i w:val="0"/>
          <w:caps w:val="0"/>
          <w:color w:val="000000"/>
          <w:spacing w:val="0"/>
          <w:sz w:val="32"/>
          <w:szCs w:val="32"/>
          <w:shd w:val="clear" w:fill="FFFFFF"/>
        </w:rPr>
        <w:t>符合下列情形之一的，其被搬迁房屋按重置价格标准的50%予以补助：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（一）被搬迁住房所有权人均不属于住房安置对象的；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（二）被搬迁住房属于住房安置对象合法拥有两处以上（含两处）农村住房，且按本办法第二十八条规定不予住房安置的；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（三）乡镇企业、乡（镇）村公共设施、公益事业用房等登记为非住宅的房屋。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第三十条 </w:t>
      </w:r>
      <w:r>
        <w:rPr>
          <w:rFonts w:hint="default" w:ascii="Times New Roman" w:hAnsi="Times New Roman" w:eastAsia="方正仿宋_GBK" w:cs="Times New Roman"/>
          <w:i w:val="0"/>
          <w:caps w:val="0"/>
          <w:color w:val="000000"/>
          <w:spacing w:val="0"/>
          <w:sz w:val="32"/>
          <w:szCs w:val="32"/>
          <w:shd w:val="clear" w:fill="FFFFFF"/>
        </w:rPr>
        <w:t>征地搬迁农村住房，按照每户1000元的标准支付搬迁费，用于被搬迁户搬家及生产生活设施迁移，按两次计发。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农村宅基地自建安置的，按照符合宅基地申请条件的人员每人每月200元计算并一次性支付18个月的临时安置费。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安置房安置的，按照应安置建筑面积每平方米每月10元计算并支付自搬迁之月起至安置房交付后6个月止期间的临时安置费。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住房货币安置的，按照应安置建筑面积每平方米每月10元计算并一次性支付12个月的临时安置费。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b w:val="0"/>
          <w:bCs w:val="0"/>
          <w:i w:val="0"/>
          <w:caps w:val="0"/>
          <w:color w:val="000000"/>
          <w:spacing w:val="0"/>
          <w:sz w:val="32"/>
          <w:szCs w:val="32"/>
          <w:shd w:val="clear" w:fill="FFFFFF"/>
        </w:rPr>
      </w:pPr>
      <w:r>
        <w:rPr>
          <w:rFonts w:hint="default" w:ascii="黑体" w:hAnsi="黑体" w:eastAsia="黑体" w:cs="黑体"/>
          <w:b w:val="0"/>
          <w:bCs w:val="0"/>
          <w:i w:val="0"/>
          <w:caps w:val="0"/>
          <w:color w:val="000000"/>
          <w:spacing w:val="0"/>
          <w:sz w:val="32"/>
          <w:szCs w:val="32"/>
          <w:shd w:val="clear" w:fill="FFFFFF"/>
        </w:rPr>
        <w:t>第五章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第三十一条</w:t>
      </w:r>
      <w:r>
        <w:rPr>
          <w:rFonts w:hint="default" w:ascii="Times New Roman" w:hAnsi="Times New Roman" w:eastAsia="方正仿宋_GBK" w:cs="Times New Roman"/>
          <w:i w:val="0"/>
          <w:caps w:val="0"/>
          <w:color w:val="000000"/>
          <w:spacing w:val="0"/>
          <w:sz w:val="32"/>
          <w:szCs w:val="32"/>
          <w:shd w:val="clear" w:fill="FFFFFF"/>
        </w:rPr>
        <w:t> 国家和本市对大中型水利水电工程建设征地补偿和移民安置另有规定的，从其规定。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第三十二条</w:t>
      </w:r>
      <w:r>
        <w:rPr>
          <w:rFonts w:hint="default" w:ascii="Times New Roman" w:hAnsi="Times New Roman" w:eastAsia="方正仿宋_GBK" w:cs="Times New Roman"/>
          <w:i w:val="0"/>
          <w:caps w:val="0"/>
          <w:color w:val="000000"/>
          <w:spacing w:val="0"/>
          <w:sz w:val="32"/>
          <w:szCs w:val="32"/>
          <w:shd w:val="clear" w:fill="FFFFFF"/>
        </w:rPr>
        <w:t> 本办法自2021年7月1日起施行。《忠县人民政府关于印发忠县征地补偿安置实施办法的通知》（忠府发〔2008〕35号）和《忠县人民政府关于调整征地补偿安置标准有关事项的通知》（忠府发〔2013〕37号）同时废止。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本办法施行前已经确定征地补偿安置方案的项目，按照原政策执行。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附件：1. 忠县区片综合地价标准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2. 忠县农村房屋重置价格补偿标准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3. 忠县农村房屋搬迁装修装饰补助标准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4. 忠县地上构筑物补偿标准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5. 忠县成片果园补偿标准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6. 忠县规模化种植业和养殖业一次性搬迁补助费标准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7. 忠县住房货币安置价格标准</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附件1</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4"/>
          <w:szCs w:val="44"/>
          <w:shd w:val="clear" w:fill="FFFFFF"/>
        </w:rPr>
        <w:t>忠县区片综合地价标准</w:t>
      </w:r>
    </w:p>
    <w:p>
      <w:pPr>
        <w:pStyle w:val="4"/>
        <w:keepNext w:val="0"/>
        <w:keepLines w:val="0"/>
        <w:widowControl/>
        <w:suppressLineNumbers w:val="0"/>
        <w:shd w:val="clear" w:fill="FFFFFF"/>
        <w:spacing w:before="0" w:beforeAutospacing="0" w:after="0" w:afterAutospacing="0" w:line="570" w:lineRule="atLeast"/>
        <w:ind w:left="0" w:firstLine="0"/>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单位：万元/亩    </w:t>
      </w:r>
    </w:p>
    <w:tbl>
      <w:tblPr>
        <w:tblStyle w:val="5"/>
        <w:tblW w:w="88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49"/>
        <w:gridCol w:w="1281"/>
        <w:gridCol w:w="70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4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区片</w:t>
            </w:r>
          </w:p>
        </w:tc>
        <w:tc>
          <w:tcPr>
            <w:tcW w:w="12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区片综合地价标准</w:t>
            </w:r>
          </w:p>
        </w:tc>
        <w:tc>
          <w:tcPr>
            <w:tcW w:w="704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范</w:t>
            </w:r>
            <w:r>
              <w:rPr>
                <w:rFonts w:hint="eastAsia" w:ascii="仿宋" w:hAnsi="仿宋" w:eastAsia="仿宋" w:cs="仿宋"/>
                <w:i w:val="0"/>
                <w:caps w:val="0"/>
                <w:color w:val="000000"/>
                <w:spacing w:val="0"/>
                <w:sz w:val="31"/>
                <w:szCs w:val="31"/>
                <w:lang w:val="en-US" w:eastAsia="zh-CN"/>
              </w:rPr>
              <w:t xml:space="preserve">  </w:t>
            </w:r>
            <w:r>
              <w:rPr>
                <w:rFonts w:hint="eastAsia" w:ascii="仿宋" w:hAnsi="仿宋" w:eastAsia="仿宋" w:cs="仿宋"/>
                <w:i w:val="0"/>
                <w:caps w:val="0"/>
                <w:color w:val="000000"/>
                <w:spacing w:val="0"/>
                <w:sz w:val="31"/>
                <w:szCs w:val="31"/>
              </w:rPr>
              <w:t xml:space="preserve"> 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4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Ⅰ</w:t>
            </w:r>
          </w:p>
        </w:tc>
        <w:tc>
          <w:tcPr>
            <w:tcW w:w="12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5.04</w:t>
            </w:r>
          </w:p>
        </w:tc>
        <w:tc>
          <w:tcPr>
            <w:tcW w:w="704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忠州街道、白公街道。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4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II</w:t>
            </w:r>
          </w:p>
        </w:tc>
        <w:tc>
          <w:tcPr>
            <w:tcW w:w="12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4.81</w:t>
            </w:r>
          </w:p>
        </w:tc>
        <w:tc>
          <w:tcPr>
            <w:tcW w:w="704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新生街道、乌杨街道、东溪镇、复兴镇、石宝镇、汝溪镇、官坝镇、马灌镇、新立镇、拔山镇、三汇镇、白石镇。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4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III</w:t>
            </w:r>
          </w:p>
        </w:tc>
        <w:tc>
          <w:tcPr>
            <w:tcW w:w="12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4.54</w:t>
            </w:r>
          </w:p>
        </w:tc>
        <w:tc>
          <w:tcPr>
            <w:tcW w:w="704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任家镇、洋渡镇、野鹤镇、石黄镇、金鸡镇、双桂镇、花桥镇、永丰镇、黄金镇、善广乡、石子乡、磨子土家族乡、涂井乡、金声乡、兴峰乡。</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附件2</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忠县农村房屋重置价格补偿标准</w:t>
      </w:r>
    </w:p>
    <w:p>
      <w:pPr>
        <w:pStyle w:val="4"/>
        <w:keepNext w:val="0"/>
        <w:keepLines w:val="0"/>
        <w:widowControl/>
        <w:suppressLineNumbers w:val="0"/>
        <w:shd w:val="clear" w:fill="FFFFFF"/>
        <w:spacing w:before="0" w:beforeAutospacing="0" w:after="0" w:afterAutospacing="0" w:line="570" w:lineRule="atLeast"/>
        <w:ind w:left="0" w:firstLine="0"/>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单位：元/平方米                                        </w:t>
      </w:r>
    </w:p>
    <w:tbl>
      <w:tblPr>
        <w:tblStyle w:val="5"/>
        <w:tblW w:w="894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67"/>
        <w:gridCol w:w="6253"/>
        <w:gridCol w:w="13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3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类别</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结构</w:t>
            </w:r>
          </w:p>
        </w:tc>
        <w:tc>
          <w:tcPr>
            <w:tcW w:w="62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房屋结构</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补偿标准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钢砼结构</w:t>
            </w:r>
          </w:p>
        </w:tc>
        <w:tc>
          <w:tcPr>
            <w:tcW w:w="62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框架（剪力墙）现浇盖</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砖混结构</w:t>
            </w:r>
          </w:p>
        </w:tc>
        <w:tc>
          <w:tcPr>
            <w:tcW w:w="62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砖墙（条石）预制盖</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6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砖木结构</w:t>
            </w:r>
          </w:p>
        </w:tc>
        <w:tc>
          <w:tcPr>
            <w:tcW w:w="62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砖墙（木板）穿逗瓦盖</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Segoe UI" w:hAnsi="Segoe UI" w:eastAsia="Segoe UI" w:cs="Segoe UI"/>
                <w:i w:val="0"/>
                <w:caps w:val="0"/>
                <w:color w:val="000000"/>
                <w:spacing w:val="0"/>
                <w:sz w:val="21"/>
                <w:szCs w:val="21"/>
              </w:rPr>
            </w:pPr>
          </w:p>
        </w:tc>
        <w:tc>
          <w:tcPr>
            <w:tcW w:w="62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砖墙（片石）瓦盖</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62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砖墙石棉瓦盖（油毡、玻纤瓦、彩钢盖）</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6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土墙结构</w:t>
            </w:r>
          </w:p>
        </w:tc>
        <w:tc>
          <w:tcPr>
            <w:tcW w:w="62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土墙瓦盖</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62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石棉瓦、玻纤瓦盖</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6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简易结构</w:t>
            </w:r>
          </w:p>
        </w:tc>
        <w:tc>
          <w:tcPr>
            <w:tcW w:w="62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砖柱（石柱、木柱、钢柱）石棉瓦盖（油毡、玻纤瓦、彩钢盖）</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62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简易棚房</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160</w:t>
            </w:r>
          </w:p>
        </w:tc>
      </w:tr>
    </w:tbl>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说明：1. 房屋层高在2.2米以下（不含2.2米），1.5米以上（含1.5米）的，按同类房屋标准的70%计算补偿。</w:t>
      </w:r>
    </w:p>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hint="eastAsia" w:ascii="仿宋" w:hAnsi="仿宋" w:eastAsia="仿宋" w:cs="仿宋"/>
          <w:i w:val="0"/>
          <w:caps w:val="0"/>
          <w:color w:val="000000"/>
          <w:spacing w:val="0"/>
          <w:sz w:val="31"/>
          <w:szCs w:val="31"/>
          <w:shd w:val="clear" w:fill="FFFFFF"/>
          <w:lang w:val="en-US" w:eastAsia="zh-CN"/>
        </w:rPr>
        <w:t xml:space="preserve"> </w:t>
      </w:r>
      <w:r>
        <w:rPr>
          <w:rFonts w:hint="eastAsia" w:ascii="仿宋" w:hAnsi="仿宋" w:eastAsia="仿宋" w:cs="仿宋"/>
          <w:i w:val="0"/>
          <w:caps w:val="0"/>
          <w:color w:val="000000"/>
          <w:spacing w:val="0"/>
          <w:sz w:val="31"/>
          <w:szCs w:val="31"/>
          <w:shd w:val="clear" w:fill="FFFFFF"/>
        </w:rPr>
        <w:t xml:space="preserve">   2.房屋层高在1.5米以下（不含1.5米），1米以上（含1米）的，按同类房屋标准的50%计算补偿。</w:t>
      </w:r>
    </w:p>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hint="eastAsia" w:ascii="仿宋" w:hAnsi="仿宋" w:eastAsia="仿宋" w:cs="仿宋"/>
          <w:i w:val="0"/>
          <w:caps w:val="0"/>
          <w:color w:val="000000"/>
          <w:spacing w:val="0"/>
          <w:sz w:val="31"/>
          <w:szCs w:val="31"/>
          <w:shd w:val="clear" w:fill="FFFFFF"/>
          <w:lang w:val="en-US" w:eastAsia="zh-CN"/>
        </w:rPr>
        <w:t xml:space="preserve"> </w:t>
      </w:r>
      <w:r>
        <w:rPr>
          <w:rFonts w:hint="eastAsia" w:ascii="仿宋" w:hAnsi="仿宋" w:eastAsia="仿宋" w:cs="仿宋"/>
          <w:i w:val="0"/>
          <w:caps w:val="0"/>
          <w:color w:val="000000"/>
          <w:spacing w:val="0"/>
          <w:sz w:val="31"/>
          <w:szCs w:val="31"/>
          <w:shd w:val="clear" w:fill="FFFFFF"/>
        </w:rPr>
        <w:t xml:space="preserve"> 3.房屋层高在1米以下（不含1米）的，按同类房屋标准的20%计算补偿。</w:t>
      </w:r>
    </w:p>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hint="eastAsia" w:ascii="仿宋" w:hAnsi="仿宋" w:eastAsia="仿宋" w:cs="仿宋"/>
          <w:i w:val="0"/>
          <w:caps w:val="0"/>
          <w:color w:val="000000"/>
          <w:spacing w:val="0"/>
          <w:sz w:val="31"/>
          <w:szCs w:val="31"/>
          <w:shd w:val="clear" w:fill="FFFFFF"/>
          <w:lang w:val="en-US" w:eastAsia="zh-CN"/>
        </w:rPr>
        <w:t xml:space="preserve"> </w:t>
      </w:r>
      <w:r>
        <w:rPr>
          <w:rFonts w:hint="eastAsia" w:ascii="仿宋" w:hAnsi="仿宋" w:eastAsia="仿宋" w:cs="仿宋"/>
          <w:i w:val="0"/>
          <w:caps w:val="0"/>
          <w:color w:val="000000"/>
          <w:spacing w:val="0"/>
          <w:sz w:val="31"/>
          <w:szCs w:val="31"/>
          <w:shd w:val="clear" w:fill="FFFFFF"/>
        </w:rPr>
        <w:t xml:space="preserve"> 4.外阳台按同类房屋的50%计算。</w:t>
      </w:r>
    </w:p>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xml:space="preserve">      </w:t>
      </w:r>
      <w:r>
        <w:rPr>
          <w:rFonts w:hint="eastAsia" w:ascii="仿宋" w:hAnsi="仿宋" w:eastAsia="仿宋" w:cs="仿宋"/>
          <w:i w:val="0"/>
          <w:caps w:val="0"/>
          <w:color w:val="000000"/>
          <w:spacing w:val="0"/>
          <w:sz w:val="31"/>
          <w:szCs w:val="31"/>
          <w:shd w:val="clear" w:fill="FFFFFF"/>
          <w:lang w:val="en-US" w:eastAsia="zh-CN"/>
        </w:rPr>
        <w:t xml:space="preserve"> </w:t>
      </w:r>
      <w:r>
        <w:rPr>
          <w:rFonts w:hint="eastAsia" w:ascii="仿宋" w:hAnsi="仿宋" w:eastAsia="仿宋" w:cs="仿宋"/>
          <w:i w:val="0"/>
          <w:caps w:val="0"/>
          <w:color w:val="000000"/>
          <w:spacing w:val="0"/>
          <w:sz w:val="31"/>
          <w:szCs w:val="31"/>
          <w:shd w:val="clear" w:fill="FFFFFF"/>
        </w:rPr>
        <w:t>5.房屋面积以外墙尺寸计算。</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附件3</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忠县农村房屋搬迁装修装饰补助标准</w:t>
      </w:r>
    </w:p>
    <w:tbl>
      <w:tblPr>
        <w:tblStyle w:val="5"/>
        <w:tblW w:w="887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429"/>
        <w:gridCol w:w="1390"/>
        <w:gridCol w:w="1957"/>
        <w:gridCol w:w="1075"/>
        <w:gridCol w:w="872"/>
        <w:gridCol w:w="31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Heade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b w:val="0"/>
                <w:bCs/>
                <w:sz w:val="31"/>
                <w:szCs w:val="31"/>
              </w:rPr>
            </w:pPr>
            <w:r>
              <w:rPr>
                <w:rFonts w:hint="eastAsia" w:ascii="仿宋" w:hAnsi="仿宋" w:eastAsia="仿宋" w:cs="仿宋"/>
                <w:b w:val="0"/>
                <w:bCs/>
                <w:i w:val="0"/>
                <w:caps w:val="0"/>
                <w:color w:val="000000"/>
                <w:spacing w:val="0"/>
                <w:sz w:val="31"/>
                <w:szCs w:val="31"/>
              </w:rPr>
              <w:t>序号</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b w:val="0"/>
                <w:bCs/>
                <w:sz w:val="31"/>
                <w:szCs w:val="31"/>
              </w:rPr>
            </w:pPr>
            <w:r>
              <w:rPr>
                <w:rFonts w:hint="eastAsia" w:ascii="仿宋" w:hAnsi="仿宋" w:eastAsia="仿宋" w:cs="仿宋"/>
                <w:b w:val="0"/>
                <w:bCs/>
                <w:i w:val="0"/>
                <w:caps w:val="0"/>
                <w:color w:val="000000"/>
                <w:spacing w:val="0"/>
                <w:sz w:val="31"/>
                <w:szCs w:val="31"/>
              </w:rPr>
              <w:t>项目</w:t>
            </w:r>
          </w:p>
        </w:tc>
        <w:tc>
          <w:tcPr>
            <w:tcW w:w="195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b w:val="0"/>
                <w:bCs/>
                <w:sz w:val="31"/>
                <w:szCs w:val="31"/>
              </w:rPr>
            </w:pPr>
            <w:r>
              <w:rPr>
                <w:rFonts w:hint="eastAsia" w:ascii="仿宋" w:hAnsi="仿宋" w:eastAsia="仿宋" w:cs="仿宋"/>
                <w:b w:val="0"/>
                <w:bCs/>
                <w:i w:val="0"/>
                <w:caps w:val="0"/>
                <w:color w:val="000000"/>
                <w:spacing w:val="0"/>
                <w:sz w:val="31"/>
                <w:szCs w:val="31"/>
              </w:rPr>
              <w:t>规格及说明</w:t>
            </w:r>
          </w:p>
        </w:tc>
        <w:tc>
          <w:tcPr>
            <w:tcW w:w="194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b w:val="0"/>
                <w:bCs/>
                <w:sz w:val="31"/>
                <w:szCs w:val="31"/>
              </w:rPr>
            </w:pPr>
            <w:r>
              <w:rPr>
                <w:rFonts w:hint="eastAsia" w:ascii="仿宋" w:hAnsi="仿宋" w:eastAsia="仿宋" w:cs="仿宋"/>
                <w:b w:val="0"/>
                <w:bCs/>
                <w:i w:val="0"/>
                <w:caps w:val="0"/>
                <w:color w:val="000000"/>
                <w:spacing w:val="0"/>
                <w:sz w:val="31"/>
                <w:szCs w:val="31"/>
              </w:rPr>
              <w:t>标准</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b w:val="0"/>
                <w:bCs/>
                <w:sz w:val="31"/>
                <w:szCs w:val="31"/>
              </w:rPr>
            </w:pPr>
            <w:r>
              <w:rPr>
                <w:rFonts w:hint="eastAsia" w:ascii="仿宋" w:hAnsi="仿宋" w:eastAsia="仿宋" w:cs="仿宋"/>
                <w:b w:val="0"/>
                <w:bCs/>
                <w:i w:val="0"/>
                <w:caps w:val="0"/>
                <w:color w:val="000000"/>
                <w:spacing w:val="0"/>
                <w:sz w:val="31"/>
                <w:szCs w:val="3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Heade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b w:val="0"/>
                <w:bCs/>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b w:val="0"/>
                <w:bCs/>
                <w:i w:val="0"/>
                <w:caps w:val="0"/>
                <w:color w:val="000000"/>
                <w:spacing w:val="0"/>
                <w:sz w:val="21"/>
                <w:szCs w:val="21"/>
              </w:rPr>
            </w:pPr>
          </w:p>
        </w:tc>
        <w:tc>
          <w:tcPr>
            <w:tcW w:w="195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b w:val="0"/>
                <w:bCs/>
                <w:i w:val="0"/>
                <w:caps w:val="0"/>
                <w:color w:val="000000"/>
                <w:spacing w:val="0"/>
                <w:sz w:val="21"/>
                <w:szCs w:val="2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b w:val="0"/>
                <w:bCs/>
                <w:sz w:val="31"/>
                <w:szCs w:val="31"/>
              </w:rPr>
            </w:pPr>
            <w:r>
              <w:rPr>
                <w:rFonts w:hint="eastAsia" w:ascii="仿宋" w:hAnsi="仿宋" w:eastAsia="仿宋" w:cs="仿宋"/>
                <w:b w:val="0"/>
                <w:bCs/>
                <w:i w:val="0"/>
                <w:caps w:val="0"/>
                <w:color w:val="000000"/>
                <w:spacing w:val="0"/>
                <w:sz w:val="31"/>
                <w:szCs w:val="31"/>
              </w:rPr>
              <w:t>单位</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b w:val="0"/>
                <w:bCs/>
                <w:sz w:val="31"/>
                <w:szCs w:val="31"/>
              </w:rPr>
            </w:pPr>
            <w:r>
              <w:rPr>
                <w:rFonts w:hint="eastAsia" w:ascii="仿宋" w:hAnsi="仿宋" w:eastAsia="仿宋" w:cs="仿宋"/>
                <w:b w:val="0"/>
                <w:bCs/>
                <w:i w:val="0"/>
                <w:caps w:val="0"/>
                <w:color w:val="000000"/>
                <w:spacing w:val="0"/>
                <w:sz w:val="31"/>
                <w:szCs w:val="31"/>
              </w:rPr>
              <w:t>金额（元）</w:t>
            </w:r>
          </w:p>
        </w:tc>
        <w:tc>
          <w:tcPr>
            <w:tcW w:w="3150" w:type="dxa"/>
            <w:tcBorders>
              <w:top w:val="outset" w:color="auto" w:sz="6" w:space="0"/>
              <w:left w:val="nil"/>
              <w:bottom w:val="outset" w:color="auto" w:sz="6" w:space="0"/>
              <w:right w:val="outset" w:color="auto" w:sz="6" w:space="0"/>
            </w:tcBorders>
            <w:shd w:val="clear" w:color="auto" w:fill="FFFFFF"/>
            <w:vAlign w:val="center"/>
          </w:tcPr>
          <w:p>
            <w:pPr>
              <w:jc w:val="center"/>
              <w:rPr>
                <w:rFonts w:hint="default" w:ascii="Segoe UI" w:hAnsi="Segoe UI" w:eastAsia="Segoe UI" w:cs="Segoe UI"/>
                <w:b w:val="0"/>
                <w:bCs/>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地面砖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墙面砖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瓷 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30×30及以下</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40×40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50×50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60×60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80×80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100×100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木地板</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强化地板</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实木地板</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水磨石</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大理石</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95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防盗网</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铁条</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不锈钢</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防盗门</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简易铁（钢）条网门</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自制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简易铁（板）皮半包门</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自制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简易不锈钢（铝）皮全包门</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自制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普通防盗（工程）门</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套</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300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精装防盗门</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套</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精装加大防盗门</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套</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600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也可按250元/平方米计算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地弹簧门</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木质包门</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包括门套</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套</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300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门套不另作补偿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9</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套装门</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套</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350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单独门套</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11</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塑钢门</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套</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卷帘门</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13</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推拉门</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木质或铝合金</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14</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单独窗套</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15</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铝合金窗</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16</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铁条窗</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17</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踢脚线</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18</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石膏阴角线</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19</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木质装饰条</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吊顶</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简易吊顶</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竹块、层板等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塑料扣板</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精装吊顶</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21</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栏杆</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铁</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不锈钢、木质</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22</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陶瓷便盆</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23</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面盆</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有大理石台面的台面另计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24</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陶瓷坐便器</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台</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25</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盥洗池</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26</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墙裙</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木质</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65</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27</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不锈钢菜盆</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28</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整体吊柜（橱柜）</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敞开无门</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250</w:t>
            </w:r>
          </w:p>
        </w:tc>
        <w:tc>
          <w:tcPr>
            <w:tcW w:w="31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按立面面积计算，钢架或砖混主体，瓷砖或大理石台面，台面不另作补偿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木质门或铝合金门</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300</w:t>
            </w:r>
          </w:p>
        </w:tc>
        <w:tc>
          <w:tcPr>
            <w:tcW w:w="31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29</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雨棚</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铝合金、不锈钢</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80</w:t>
            </w:r>
          </w:p>
        </w:tc>
        <w:tc>
          <w:tcPr>
            <w:tcW w:w="31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不含自带水泥棚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钢架彩钢瓦</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110</w:t>
            </w:r>
          </w:p>
        </w:tc>
        <w:tc>
          <w:tcPr>
            <w:tcW w:w="31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钢架彩钢瓦（含隔热层）</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150</w:t>
            </w:r>
          </w:p>
        </w:tc>
        <w:tc>
          <w:tcPr>
            <w:tcW w:w="31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30</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花架</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铁、一般材料</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40</w:t>
            </w:r>
          </w:p>
        </w:tc>
        <w:tc>
          <w:tcPr>
            <w:tcW w:w="31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阳台外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不锈钢、铝合金</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w:t>
            </w:r>
          </w:p>
        </w:tc>
        <w:tc>
          <w:tcPr>
            <w:tcW w:w="31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31</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涂料</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砂浆抺面石灰刷白</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w:t>
            </w:r>
          </w:p>
        </w:tc>
        <w:tc>
          <w:tcPr>
            <w:tcW w:w="31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长×宽×3或每面面积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仿瓷（钢化）</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w:t>
            </w:r>
          </w:p>
        </w:tc>
        <w:tc>
          <w:tcPr>
            <w:tcW w:w="31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仿瓷（多彩）</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w:t>
            </w:r>
          </w:p>
        </w:tc>
        <w:tc>
          <w:tcPr>
            <w:tcW w:w="31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乳胶漆</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30</w:t>
            </w:r>
          </w:p>
        </w:tc>
        <w:tc>
          <w:tcPr>
            <w:tcW w:w="31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硅藻泥</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32</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墙纸</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33</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墙布</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34</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电视墙</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木质装饰</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墙砖装饰</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35</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石膏</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贴花大</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贴花小</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outlineLvl w:val="9"/>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装饰灯座</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36</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暗线</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（长+宽）×2.5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37</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空调移机费</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挂机</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次</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150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柜机</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次</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38</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不可移动家具</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衣柜、壁柜、书架、隔断</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250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木质或其它材料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39</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室外洗衣槽</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室内不予计算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40</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太阳能搬迁费</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次</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250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41</w:t>
            </w:r>
          </w:p>
        </w:tc>
        <w:tc>
          <w:tcPr>
            <w:tcW w:w="13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lang w:eastAsia="zh-CN"/>
              </w:rPr>
            </w:pPr>
            <w:r>
              <w:rPr>
                <w:rFonts w:hint="eastAsia" w:ascii="仿宋" w:hAnsi="仿宋" w:eastAsia="仿宋" w:cs="仿宋"/>
                <w:i w:val="0"/>
                <w:caps w:val="0"/>
                <w:color w:val="000000"/>
                <w:spacing w:val="0"/>
                <w:sz w:val="31"/>
                <w:szCs w:val="31"/>
                <w:lang w:eastAsia="zh-CN"/>
              </w:rPr>
              <w:t>室外石梯</w:t>
            </w:r>
            <w:r>
              <w:rPr>
                <w:rFonts w:hint="eastAsia" w:ascii="仿宋" w:hAnsi="仿宋" w:eastAsia="仿宋" w:cs="仿宋"/>
                <w:i w:val="0"/>
                <w:caps w:val="0"/>
                <w:color w:val="000000"/>
                <w:spacing w:val="0"/>
                <w:sz w:val="31"/>
                <w:szCs w:val="31"/>
              </w:rPr>
              <w:t>、水泥</w:t>
            </w:r>
            <w:r>
              <w:rPr>
                <w:rFonts w:hint="eastAsia" w:ascii="仿宋" w:hAnsi="仿宋" w:eastAsia="仿宋" w:cs="仿宋"/>
                <w:i w:val="0"/>
                <w:caps w:val="0"/>
                <w:color w:val="000000"/>
                <w:spacing w:val="0"/>
                <w:sz w:val="31"/>
                <w:szCs w:val="31"/>
                <w:lang w:val="en-US" w:eastAsia="zh-CN"/>
              </w:rPr>
              <w:t>地</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按平面面积计算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42</w:t>
            </w:r>
          </w:p>
        </w:tc>
        <w:tc>
          <w:tcPr>
            <w:tcW w:w="13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室外塑胶（铁）</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下水管</w:t>
            </w: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直径25毫米及以下</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直径50毫米</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14</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直径75毫米</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22</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3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9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直径110毫米及以上</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8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30</w:t>
            </w:r>
          </w:p>
        </w:tc>
        <w:tc>
          <w:tcPr>
            <w:tcW w:w="31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bl>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说明：经补偿后归征地实施单位处置。</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附件4</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忠县地上构筑物补偿标准</w:t>
      </w:r>
    </w:p>
    <w:tbl>
      <w:tblPr>
        <w:tblStyle w:val="5"/>
        <w:tblW w:w="88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082"/>
        <w:gridCol w:w="1680"/>
        <w:gridCol w:w="533"/>
        <w:gridCol w:w="1153"/>
        <w:gridCol w:w="44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名称</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结构</w:t>
            </w: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单位</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标准（元）</w:t>
            </w:r>
          </w:p>
        </w:tc>
        <w:tc>
          <w:tcPr>
            <w:tcW w:w="44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堡 坎</w:t>
            </w:r>
            <w:r>
              <w:rPr>
                <w:rFonts w:hint="eastAsia" w:ascii="仿宋" w:hAnsi="仿宋" w:eastAsia="仿宋" w:cs="仿宋"/>
                <w:i w:val="0"/>
                <w:caps w:val="0"/>
                <w:color w:val="000000"/>
                <w:spacing w:val="0"/>
                <w:sz w:val="31"/>
                <w:szCs w:val="31"/>
              </w:rPr>
              <w:br w:type="textWrapping"/>
            </w:r>
            <w:r>
              <w:rPr>
                <w:rFonts w:hint="eastAsia" w:ascii="仿宋" w:hAnsi="仿宋" w:eastAsia="仿宋" w:cs="仿宋"/>
                <w:i w:val="0"/>
                <w:caps w:val="0"/>
                <w:color w:val="000000"/>
                <w:spacing w:val="0"/>
                <w:sz w:val="31"/>
                <w:szCs w:val="31"/>
              </w:rPr>
              <w:t>围 墙</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条 石</w:t>
            </w:r>
          </w:p>
        </w:tc>
        <w:tc>
          <w:tcPr>
            <w:tcW w:w="53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立方米</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240</w:t>
            </w:r>
          </w:p>
        </w:tc>
        <w:tc>
          <w:tcPr>
            <w:tcW w:w="442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集体改田改土堡坎，房屋基础堡坎不予补偿。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片 石</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180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砖</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150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土围墙</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道 路（行车）</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水泥路面（含条石）</w:t>
            </w:r>
          </w:p>
        </w:tc>
        <w:tc>
          <w:tcPr>
            <w:tcW w:w="53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90</w:t>
            </w:r>
          </w:p>
        </w:tc>
        <w:tc>
          <w:tcPr>
            <w:tcW w:w="442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人行道路一律不予补偿；水泥路面厚度在10厘米以上按水泥路面补偿；低于10厘米按碎石泥结路面补偿。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碎石泥结路面</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简易路面</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砖 瓦</w:t>
            </w:r>
            <w:r>
              <w:rPr>
                <w:rFonts w:hint="eastAsia" w:ascii="仿宋" w:hAnsi="仿宋" w:eastAsia="仿宋" w:cs="仿宋"/>
                <w:i w:val="0"/>
                <w:caps w:val="0"/>
                <w:color w:val="000000"/>
                <w:spacing w:val="0"/>
                <w:sz w:val="31"/>
                <w:szCs w:val="31"/>
              </w:rPr>
              <w:br w:type="textWrapping"/>
            </w:r>
            <w:r>
              <w:rPr>
                <w:rFonts w:hint="eastAsia" w:ascii="仿宋" w:hAnsi="仿宋" w:eastAsia="仿宋" w:cs="仿宋"/>
                <w:i w:val="0"/>
                <w:caps w:val="0"/>
                <w:color w:val="000000"/>
                <w:spacing w:val="0"/>
                <w:sz w:val="31"/>
                <w:szCs w:val="31"/>
              </w:rPr>
              <w:t>石灰窑</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座</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7200</w:t>
            </w:r>
          </w:p>
        </w:tc>
        <w:tc>
          <w:tcPr>
            <w:tcW w:w="44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废弃或未经批准的砖瓦、石灰窑一律不予补偿。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水 井</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条石</w:t>
            </w:r>
          </w:p>
        </w:tc>
        <w:tc>
          <w:tcPr>
            <w:tcW w:w="53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立方米</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240</w:t>
            </w:r>
          </w:p>
        </w:tc>
        <w:tc>
          <w:tcPr>
            <w:tcW w:w="442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水井按容积计算补偿后，一律不再计算材料补偿。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水混</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180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机井</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2000</w:t>
            </w:r>
          </w:p>
        </w:tc>
        <w:tc>
          <w:tcPr>
            <w:tcW w:w="44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指正常使用的机井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坟 墓</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土坟</w:t>
            </w:r>
          </w:p>
        </w:tc>
        <w:tc>
          <w:tcPr>
            <w:tcW w:w="53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座</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2000</w:t>
            </w:r>
          </w:p>
        </w:tc>
        <w:tc>
          <w:tcPr>
            <w:tcW w:w="442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双坟按标准上浮50%补偿；逾期不迁的按无主坟处理。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碑坟</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4000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地 坝</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石板</w:t>
            </w:r>
          </w:p>
        </w:tc>
        <w:tc>
          <w:tcPr>
            <w:tcW w:w="53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平方米</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60</w:t>
            </w:r>
          </w:p>
        </w:tc>
        <w:tc>
          <w:tcPr>
            <w:tcW w:w="442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指正规成形的晒坝或院坝；非正规不成形的零星小块弃平地，不论石板、水泥或三合土，不补偿。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水泥</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三合土</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粪 池 蓄水池</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条石</w:t>
            </w:r>
          </w:p>
        </w:tc>
        <w:tc>
          <w:tcPr>
            <w:tcW w:w="53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立方米</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60</w:t>
            </w:r>
          </w:p>
        </w:tc>
        <w:tc>
          <w:tcPr>
            <w:tcW w:w="442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农民自建室内的粪坑和燕窝形粪坑，一律不予补偿；已按标准补偿的粪池、蓄水池其材料费不再补偿。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水泥</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沼</w:t>
            </w:r>
            <w:r>
              <w:rPr>
                <w:rFonts w:hint="eastAsia" w:ascii="仿宋" w:hAnsi="仿宋" w:eastAsia="仿宋" w:cs="仿宋"/>
                <w:i w:val="0"/>
                <w:caps w:val="0"/>
                <w:color w:val="000000"/>
                <w:spacing w:val="0"/>
                <w:sz w:val="31"/>
                <w:szCs w:val="31"/>
                <w:lang w:val="en-US" w:eastAsia="zh-CN"/>
              </w:rPr>
              <w:t>气</w:t>
            </w:r>
            <w:r>
              <w:rPr>
                <w:rFonts w:hint="eastAsia" w:ascii="仿宋" w:hAnsi="仿宋" w:eastAsia="仿宋" w:cs="仿宋"/>
                <w:i w:val="0"/>
                <w:caps w:val="0"/>
                <w:color w:val="000000"/>
                <w:spacing w:val="0"/>
                <w:sz w:val="31"/>
                <w:szCs w:val="31"/>
              </w:rPr>
              <w:t>池</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个</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1600</w:t>
            </w:r>
          </w:p>
        </w:tc>
        <w:tc>
          <w:tcPr>
            <w:tcW w:w="44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指正常使用的沼</w:t>
            </w:r>
            <w:r>
              <w:rPr>
                <w:rFonts w:hint="eastAsia" w:ascii="仿宋" w:hAnsi="仿宋" w:eastAsia="仿宋" w:cs="仿宋"/>
                <w:i w:val="0"/>
                <w:caps w:val="0"/>
                <w:color w:val="000000"/>
                <w:spacing w:val="0"/>
                <w:sz w:val="31"/>
                <w:szCs w:val="31"/>
                <w:lang w:val="en-US" w:eastAsia="zh-CN"/>
              </w:rPr>
              <w:t>气</w:t>
            </w:r>
            <w:r>
              <w:rPr>
                <w:rFonts w:hint="eastAsia" w:ascii="仿宋" w:hAnsi="仿宋" w:eastAsia="仿宋" w:cs="仿宋"/>
                <w:i w:val="0"/>
                <w:caps w:val="0"/>
                <w:color w:val="000000"/>
                <w:spacing w:val="0"/>
                <w:sz w:val="31"/>
                <w:szCs w:val="31"/>
              </w:rPr>
              <w:t>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水 渠</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条石</w:t>
            </w:r>
          </w:p>
        </w:tc>
        <w:tc>
          <w:tcPr>
            <w:tcW w:w="53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立方米</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w:t>
            </w:r>
          </w:p>
        </w:tc>
        <w:tc>
          <w:tcPr>
            <w:tcW w:w="442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指村社人工砌筑的专用水渠。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片石、砖、三合土</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电 杆</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9米以上圆电杆</w:t>
            </w:r>
          </w:p>
        </w:tc>
        <w:tc>
          <w:tcPr>
            <w:tcW w:w="53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根</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540</w:t>
            </w:r>
          </w:p>
        </w:tc>
        <w:tc>
          <w:tcPr>
            <w:tcW w:w="442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指村社及个人投资的电杆。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水泥方电杆、9米以下圆电杆</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420</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电 线</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室外电线</w:t>
            </w: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w:t>
            </w:r>
          </w:p>
        </w:tc>
        <w:tc>
          <w:tcPr>
            <w:tcW w:w="44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指室外生产性用电的电钱。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室外饮水管</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15毫米以下</w:t>
            </w:r>
          </w:p>
        </w:tc>
        <w:tc>
          <w:tcPr>
            <w:tcW w:w="53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米</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w:t>
            </w:r>
          </w:p>
        </w:tc>
        <w:tc>
          <w:tcPr>
            <w:tcW w:w="442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不含市政管网。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15毫米以上</w:t>
            </w:r>
          </w:p>
        </w:tc>
        <w:tc>
          <w:tcPr>
            <w:tcW w:w="53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w:t>
            </w:r>
          </w:p>
        </w:tc>
        <w:tc>
          <w:tcPr>
            <w:tcW w:w="442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钢 架</w:t>
            </w:r>
            <w:r>
              <w:rPr>
                <w:rFonts w:hint="eastAsia" w:ascii="仿宋" w:hAnsi="仿宋" w:eastAsia="仿宋" w:cs="仿宋"/>
                <w:i w:val="0"/>
                <w:caps w:val="0"/>
                <w:color w:val="000000"/>
                <w:spacing w:val="0"/>
                <w:sz w:val="31"/>
                <w:szCs w:val="31"/>
              </w:rPr>
              <w:br w:type="textWrapping"/>
            </w:r>
            <w:r>
              <w:rPr>
                <w:rFonts w:hint="eastAsia" w:ascii="仿宋" w:hAnsi="仿宋" w:eastAsia="仿宋" w:cs="仿宋"/>
                <w:i w:val="0"/>
                <w:caps w:val="0"/>
                <w:color w:val="000000"/>
                <w:spacing w:val="0"/>
                <w:sz w:val="31"/>
                <w:szCs w:val="31"/>
              </w:rPr>
              <w:t>大 棚</w:t>
            </w:r>
          </w:p>
        </w:tc>
        <w:tc>
          <w:tcPr>
            <w:tcW w:w="1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钢架（水泥柱架）簿膜</w:t>
            </w: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亩</w:t>
            </w:r>
          </w:p>
        </w:tc>
        <w:tc>
          <w:tcPr>
            <w:tcW w:w="11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5000</w:t>
            </w:r>
          </w:p>
        </w:tc>
        <w:tc>
          <w:tcPr>
            <w:tcW w:w="44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专指蔬菜大棚　</w:t>
            </w:r>
          </w:p>
        </w:tc>
      </w:tr>
    </w:tbl>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说明：经补偿后的构筑物归征地实施单位处置。</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附件5</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忠县成片果园补偿标准</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单位：元/亩</w:t>
      </w:r>
    </w:p>
    <w:tbl>
      <w:tblPr>
        <w:tblStyle w:val="5"/>
        <w:tblW w:w="555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892"/>
        <w:gridCol w:w="962"/>
        <w:gridCol w:w="807"/>
        <w:gridCol w:w="18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8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类别</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规格</w:t>
            </w:r>
          </w:p>
        </w:tc>
        <w:tc>
          <w:tcPr>
            <w:tcW w:w="8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标准</w:t>
            </w:r>
          </w:p>
        </w:tc>
        <w:tc>
          <w:tcPr>
            <w:tcW w:w="18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89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一般果园</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幼林园</w:t>
            </w:r>
          </w:p>
        </w:tc>
        <w:tc>
          <w:tcPr>
            <w:tcW w:w="8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8000</w:t>
            </w:r>
          </w:p>
        </w:tc>
        <w:tc>
          <w:tcPr>
            <w:tcW w:w="18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一至三年生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初产园</w:t>
            </w:r>
          </w:p>
        </w:tc>
        <w:tc>
          <w:tcPr>
            <w:tcW w:w="8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10000</w:t>
            </w:r>
          </w:p>
        </w:tc>
        <w:tc>
          <w:tcPr>
            <w:tcW w:w="18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四至六年生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盛产园</w:t>
            </w:r>
          </w:p>
        </w:tc>
        <w:tc>
          <w:tcPr>
            <w:tcW w:w="8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12000</w:t>
            </w:r>
          </w:p>
        </w:tc>
        <w:tc>
          <w:tcPr>
            <w:tcW w:w="18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七年生及以上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标准化柑橘园</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幼林园</w:t>
            </w:r>
          </w:p>
        </w:tc>
        <w:tc>
          <w:tcPr>
            <w:tcW w:w="8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8000</w:t>
            </w:r>
          </w:p>
        </w:tc>
        <w:tc>
          <w:tcPr>
            <w:tcW w:w="18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一至三年生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初产园</w:t>
            </w:r>
          </w:p>
        </w:tc>
        <w:tc>
          <w:tcPr>
            <w:tcW w:w="8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13000</w:t>
            </w:r>
          </w:p>
        </w:tc>
        <w:tc>
          <w:tcPr>
            <w:tcW w:w="18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四至六年生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盛产园</w:t>
            </w:r>
          </w:p>
        </w:tc>
        <w:tc>
          <w:tcPr>
            <w:tcW w:w="8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18000</w:t>
            </w:r>
          </w:p>
        </w:tc>
        <w:tc>
          <w:tcPr>
            <w:tcW w:w="18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七年生及以上</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说明：一般果园指连续种植面积达10亩以上，果树种植密度每亩达70株及以上的果园；标准化柑橘园是指县人民政府批准确定并按相应标准建设的柑橘园。以上补偿标准含建园费用及附属设施补偿。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附件6</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忠县规模化种植业和养殖业一次性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4"/>
          <w:szCs w:val="44"/>
          <w:shd w:val="clear" w:fill="FFFFFF"/>
        </w:rPr>
        <w:t>搬迁补助费标准</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单位：元/亩</w:t>
      </w:r>
    </w:p>
    <w:tbl>
      <w:tblPr>
        <w:tblStyle w:val="5"/>
        <w:tblW w:w="887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2689"/>
        <w:gridCol w:w="1018"/>
        <w:gridCol w:w="1118"/>
        <w:gridCol w:w="3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354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类别</w:t>
            </w:r>
          </w:p>
        </w:tc>
        <w:tc>
          <w:tcPr>
            <w:tcW w:w="10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规模</w:t>
            </w:r>
          </w:p>
        </w:tc>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标准</w:t>
            </w:r>
          </w:p>
        </w:tc>
        <w:tc>
          <w:tcPr>
            <w:tcW w:w="31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5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种植业</w:t>
            </w:r>
          </w:p>
        </w:tc>
        <w:tc>
          <w:tcPr>
            <w:tcW w:w="26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标准化柑橘园</w:t>
            </w:r>
          </w:p>
        </w:tc>
        <w:tc>
          <w:tcPr>
            <w:tcW w:w="101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≥10亩</w:t>
            </w:r>
          </w:p>
        </w:tc>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2000元/亩</w:t>
            </w:r>
          </w:p>
        </w:tc>
        <w:tc>
          <w:tcPr>
            <w:tcW w:w="319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按批准的种植规模内实际种植面积计算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26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一般果园</w:t>
            </w:r>
          </w:p>
        </w:tc>
        <w:tc>
          <w:tcPr>
            <w:tcW w:w="101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1000元/亩</w:t>
            </w:r>
          </w:p>
        </w:tc>
        <w:tc>
          <w:tcPr>
            <w:tcW w:w="319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26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其他经济作物</w:t>
            </w:r>
          </w:p>
        </w:tc>
        <w:tc>
          <w:tcPr>
            <w:tcW w:w="101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1000元/亩</w:t>
            </w:r>
          </w:p>
        </w:tc>
        <w:tc>
          <w:tcPr>
            <w:tcW w:w="319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畜禽养殖</w:t>
            </w:r>
          </w:p>
        </w:tc>
        <w:tc>
          <w:tcPr>
            <w:tcW w:w="26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牛</w:t>
            </w:r>
          </w:p>
        </w:tc>
        <w:tc>
          <w:tcPr>
            <w:tcW w:w="10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≥10头</w:t>
            </w:r>
          </w:p>
        </w:tc>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1000元/头</w:t>
            </w:r>
          </w:p>
        </w:tc>
        <w:tc>
          <w:tcPr>
            <w:tcW w:w="319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按实际需转场的畜禽数量计算。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5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26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猪</w:t>
            </w:r>
          </w:p>
        </w:tc>
        <w:tc>
          <w:tcPr>
            <w:tcW w:w="10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≥50头</w:t>
            </w:r>
          </w:p>
        </w:tc>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200元/头</w:t>
            </w:r>
          </w:p>
        </w:tc>
        <w:tc>
          <w:tcPr>
            <w:tcW w:w="319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26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羊</w:t>
            </w:r>
          </w:p>
        </w:tc>
        <w:tc>
          <w:tcPr>
            <w:tcW w:w="10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≥50头</w:t>
            </w:r>
          </w:p>
        </w:tc>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100元/头</w:t>
            </w:r>
          </w:p>
        </w:tc>
        <w:tc>
          <w:tcPr>
            <w:tcW w:w="319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72" w:hRule="atLeast"/>
          <w:jc w:val="center"/>
        </w:trPr>
        <w:tc>
          <w:tcPr>
            <w:tcW w:w="85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26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鹅、鸡、鸭、兔</w:t>
            </w:r>
          </w:p>
        </w:tc>
        <w:tc>
          <w:tcPr>
            <w:tcW w:w="10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≥200只</w:t>
            </w:r>
          </w:p>
        </w:tc>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10元/只</w:t>
            </w:r>
          </w:p>
        </w:tc>
        <w:tc>
          <w:tcPr>
            <w:tcW w:w="319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水产养殖</w:t>
            </w:r>
          </w:p>
        </w:tc>
        <w:tc>
          <w:tcPr>
            <w:tcW w:w="26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鱼、虾、鳝鱼、泥鳅、龟、鳖等</w:t>
            </w:r>
          </w:p>
        </w:tc>
        <w:tc>
          <w:tcPr>
            <w:tcW w:w="10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≥5亩</w:t>
            </w:r>
          </w:p>
        </w:tc>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1000元/亩</w:t>
            </w:r>
          </w:p>
        </w:tc>
        <w:tc>
          <w:tcPr>
            <w:tcW w:w="31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bl>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说明：1.种植或养殖规模小于上述规定标准的，一次性搬迁补助费折半计算。</w:t>
      </w:r>
    </w:p>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xml:space="preserve">      </w:t>
      </w:r>
      <w:r>
        <w:rPr>
          <w:rFonts w:hint="eastAsia" w:ascii="仿宋" w:hAnsi="仿宋" w:eastAsia="仿宋" w:cs="仿宋"/>
          <w:i w:val="0"/>
          <w:caps w:val="0"/>
          <w:color w:val="000000"/>
          <w:spacing w:val="0"/>
          <w:sz w:val="31"/>
          <w:szCs w:val="31"/>
          <w:shd w:val="clear" w:fill="FFFFFF"/>
          <w:lang w:val="en-US" w:eastAsia="zh-CN"/>
        </w:rPr>
        <w:t xml:space="preserve"> </w:t>
      </w:r>
      <w:r>
        <w:rPr>
          <w:rFonts w:hint="eastAsia" w:ascii="仿宋" w:hAnsi="仿宋" w:eastAsia="仿宋" w:cs="仿宋"/>
          <w:i w:val="0"/>
          <w:caps w:val="0"/>
          <w:color w:val="000000"/>
          <w:spacing w:val="0"/>
          <w:sz w:val="31"/>
          <w:szCs w:val="31"/>
          <w:shd w:val="clear" w:fill="FFFFFF"/>
        </w:rPr>
        <w:t>2.搬迁补助费按实际征收的面积计算。</w:t>
      </w:r>
    </w:p>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xml:space="preserve">  </w:t>
      </w:r>
      <w:r>
        <w:rPr>
          <w:rFonts w:hint="eastAsia" w:ascii="仿宋" w:hAnsi="仿宋" w:eastAsia="仿宋" w:cs="仿宋"/>
          <w:i w:val="0"/>
          <w:caps w:val="0"/>
          <w:color w:val="000000"/>
          <w:spacing w:val="0"/>
          <w:sz w:val="31"/>
          <w:szCs w:val="31"/>
          <w:shd w:val="clear" w:fill="FFFFFF"/>
          <w:lang w:val="en-US" w:eastAsia="zh-CN"/>
        </w:rPr>
        <w:t xml:space="preserve"> </w:t>
      </w:r>
      <w:r>
        <w:rPr>
          <w:rFonts w:hint="eastAsia" w:ascii="仿宋" w:hAnsi="仿宋" w:eastAsia="仿宋" w:cs="仿宋"/>
          <w:i w:val="0"/>
          <w:caps w:val="0"/>
          <w:color w:val="000000"/>
          <w:spacing w:val="0"/>
          <w:sz w:val="31"/>
          <w:szCs w:val="31"/>
          <w:shd w:val="clear" w:fill="FFFFFF"/>
        </w:rPr>
        <w:t>    3.其他经济作物是指花椒园、茶园等。</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附件7</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4"/>
          <w:szCs w:val="44"/>
          <w:shd w:val="clear" w:fill="FFFFFF"/>
        </w:rPr>
        <w:t>忠县住房货币安置价格标准</w:t>
      </w:r>
    </w:p>
    <w:p>
      <w:pPr>
        <w:pStyle w:val="4"/>
        <w:keepNext w:val="0"/>
        <w:keepLines w:val="0"/>
        <w:widowControl/>
        <w:suppressLineNumbers w:val="0"/>
        <w:shd w:val="clear" w:fill="FFFFFF"/>
        <w:spacing w:before="0" w:beforeAutospacing="0" w:after="0" w:afterAutospacing="0" w:line="570" w:lineRule="atLeast"/>
        <w:ind w:left="0" w:firstLine="0"/>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单位：元/平方米                        </w:t>
      </w:r>
    </w:p>
    <w:tbl>
      <w:tblPr>
        <w:tblStyle w:val="5"/>
        <w:tblW w:w="887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491"/>
        <w:gridCol w:w="6042"/>
        <w:gridCol w:w="1849"/>
        <w:gridCol w:w="4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序号</w:t>
            </w:r>
          </w:p>
        </w:tc>
        <w:tc>
          <w:tcPr>
            <w:tcW w:w="60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范围</w:t>
            </w:r>
          </w:p>
        </w:tc>
        <w:tc>
          <w:tcPr>
            <w:tcW w:w="184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住房货币安置价格标准</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w:t>
            </w:r>
          </w:p>
        </w:tc>
        <w:tc>
          <w:tcPr>
            <w:tcW w:w="60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忠州街道和白公街道城市规划建设用地范围内</w:t>
            </w:r>
          </w:p>
        </w:tc>
        <w:tc>
          <w:tcPr>
            <w:tcW w:w="184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4850</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w:t>
            </w:r>
          </w:p>
        </w:tc>
        <w:tc>
          <w:tcPr>
            <w:tcW w:w="60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忠州街道和白公街道城市规划建设用地范围外、新生街道、乌杨街道、东溪镇、复兴镇</w:t>
            </w:r>
          </w:p>
        </w:tc>
        <w:tc>
          <w:tcPr>
            <w:tcW w:w="184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2300</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w:t>
            </w:r>
          </w:p>
        </w:tc>
        <w:tc>
          <w:tcPr>
            <w:tcW w:w="60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其他乡镇</w:t>
            </w:r>
          </w:p>
        </w:tc>
        <w:tc>
          <w:tcPr>
            <w:tcW w:w="184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2000</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bl>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rPr>
          <w:rFonts w:hint="default"/>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60" w:lineRule="auto"/>
      <w:jc w:val="center"/>
      <w:rPr>
        <w:lang w:val="en-US"/>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-193675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15.25pt;height:0.15pt;width:442.25pt;z-index:251661312;mso-width-relative:page;mso-height-relative:page;" filled="f" stroked="t" coordsize="21600,21600" o:gfxdata="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kkSl9UA&#10;AAAJ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忠县人民政府办公室发布</w: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9238615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27.45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6p9XWAAAACg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411480</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4pt;height:0pt;width:442.55pt;z-index:251659264;mso-width-relative:page;mso-height-relative:page;" filled="f" stroked="t" coordsize="21600,21600" o:gfxdata="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Gd+B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A1A1D"/>
    <w:rsid w:val="015A1A1D"/>
    <w:rsid w:val="1F626C64"/>
    <w:rsid w:val="2F9C7F3E"/>
    <w:rsid w:val="33C05931"/>
    <w:rsid w:val="3A3D1728"/>
    <w:rsid w:val="3CAF342B"/>
    <w:rsid w:val="59D45062"/>
    <w:rsid w:val="6A43626E"/>
    <w:rsid w:val="7EDC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12</Pages>
  <Words>4586</Words>
  <Characters>4611</Characters>
  <Lines>0</Lines>
  <Paragraphs>0</Paragraphs>
  <TotalTime>53</TotalTime>
  <ScaleCrop>false</ScaleCrop>
  <LinksUpToDate>false</LinksUpToDate>
  <CharactersWithSpaces>4682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2022-06-09T07:13:00Z</dcterms:created>
  <dc:creator>Administrator</dc:creator>
  <cp:lastModifiedBy>Administrator</cp:lastModifiedBy>
  <dcterms:modified xsi:type="dcterms:W3CDTF">2025-01-14T01:52:54Z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19BD031DC8114D3E93F6A22631E7F3DF</vt:lpwstr>
  </property>
</Properties>
</file>