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spacing w:line="660" w:lineRule="exact"/>
        <w:jc w:val="center"/>
        <w:outlineLvl w:val="0"/>
        <w:rPr>
          <w:rFonts w:ascii="Times New Roman" w:hAnsi="Times New Roman" w:eastAsia="方正小标宋_GBK"/>
          <w:bCs/>
          <w:sz w:val="44"/>
          <w:szCs w:val="44"/>
        </w:rPr>
      </w:pPr>
      <w:r>
        <w:rPr>
          <w:rFonts w:ascii="Times New Roman" w:hAnsi="Times New Roman" w:eastAsia="方正小标宋_GBK"/>
          <w:bCs/>
          <w:sz w:val="44"/>
          <w:szCs w:val="44"/>
        </w:rPr>
        <w:t>忠县人民政府办公室</w:t>
      </w:r>
    </w:p>
    <w:p>
      <w:pPr>
        <w:spacing w:line="660" w:lineRule="exact"/>
        <w:jc w:val="center"/>
        <w:outlineLvl w:val="0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bCs/>
          <w:sz w:val="44"/>
          <w:szCs w:val="44"/>
        </w:rPr>
        <w:t>关于印发</w:t>
      </w:r>
      <w:r>
        <w:rPr>
          <w:rFonts w:ascii="Times New Roman" w:hAnsi="Times New Roman" w:eastAsia="方正小标宋_GBK"/>
          <w:sz w:val="44"/>
          <w:szCs w:val="44"/>
        </w:rPr>
        <w:t>忠县集中式饮用水水源地保护区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i w:val="0"/>
          <w:caps w:val="0"/>
          <w:color w:val="000000"/>
          <w:spacing w:val="0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新增及撤销方案</w:t>
      </w:r>
      <w:r>
        <w:rPr>
          <w:rFonts w:ascii="Times New Roman" w:hAnsi="Times New Roman" w:eastAsia="方正小标宋_GBK"/>
          <w:bCs/>
          <w:sz w:val="44"/>
          <w:szCs w:val="44"/>
        </w:rPr>
        <w:t>的通知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center"/>
        <w:textAlignment w:val="auto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忠府办发〔2022〕</w:t>
      </w:r>
      <w:r>
        <w:rPr>
          <w:rFonts w:hint="eastAsia" w:ascii="Times New Roman" w:hAnsi="Times New Roman" w:eastAsia="方正仿宋_GBK"/>
          <w:bCs/>
          <w:sz w:val="32"/>
          <w:szCs w:val="32"/>
        </w:rPr>
        <w:t>148</w:t>
      </w:r>
      <w:r>
        <w:rPr>
          <w:rFonts w:ascii="Times New Roman" w:hAnsi="Times New Roman" w:eastAsia="方正仿宋_GBK"/>
          <w:bCs/>
          <w:sz w:val="32"/>
          <w:szCs w:val="32"/>
        </w:rPr>
        <w:t>号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/>
        <w:jc w:val="center"/>
        <w:textAlignment w:val="auto"/>
        <w:rPr>
          <w:rFonts w:hint="default" w:ascii="Times New Roman" w:hAnsi="Times New Roman" w:eastAsia="方正仿宋_GBK"/>
          <w:bCs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方正仿宋_GBK"/>
          <w:kern w:val="24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各乡镇人民政府，各街道办事处，县政府有关部门：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《忠县集中式饮用水水源地保护区新增及撤销方案》已经县政府同意，现印发给你们，请认真贯彻执行。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lef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spacing w:line="560" w:lineRule="exact"/>
        <w:ind w:firstLine="5760" w:firstLineChars="1800"/>
        <w:contextualSpacing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忠县人民政府办公室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righ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2022年12月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"/>
        </w:rPr>
        <w:t>26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    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left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此件公开发布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sectPr>
          <w:headerReference r:id="rId3" w:type="default"/>
          <w:footerReference r:id="rId4" w:type="default"/>
          <w:pgSz w:w="11906" w:h="16838"/>
          <w:pgMar w:top="1962" w:right="1474" w:bottom="1848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br w:type="page"/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忠县集中式饮用水水源地保护区新增及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撤销方案</w:t>
      </w:r>
    </w:p>
    <w:p>
      <w:pPr>
        <w:adjustRightInd w:val="0"/>
        <w:snapToGrid w:val="0"/>
        <w:jc w:val="center"/>
        <w:rPr>
          <w:rFonts w:ascii="Times New Roman" w:hAnsi="Times New Roman" w:eastAsia="方正小标宋_GBK"/>
          <w:szCs w:val="21"/>
        </w:rPr>
      </w:pPr>
    </w:p>
    <w:p>
      <w:pPr>
        <w:numPr>
          <w:ilvl w:val="0"/>
          <w:numId w:val="1"/>
        </w:numPr>
        <w:ind w:firstLine="640" w:firstLineChars="200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新增1个集中式饮用水水源地保护区</w:t>
      </w:r>
    </w:p>
    <w:tbl>
      <w:tblPr>
        <w:tblStyle w:val="5"/>
        <w:tblW w:w="99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1"/>
        <w:gridCol w:w="575"/>
        <w:gridCol w:w="501"/>
        <w:gridCol w:w="630"/>
        <w:gridCol w:w="750"/>
        <w:gridCol w:w="675"/>
        <w:gridCol w:w="900"/>
        <w:gridCol w:w="1200"/>
        <w:gridCol w:w="1155"/>
        <w:gridCol w:w="1020"/>
        <w:gridCol w:w="945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blHeader/>
          <w:jc w:val="center"/>
        </w:trPr>
        <w:tc>
          <w:tcPr>
            <w:tcW w:w="641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  <w:t>区县</w:t>
            </w:r>
          </w:p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  <w:t>（自治县）</w:t>
            </w:r>
          </w:p>
        </w:tc>
        <w:tc>
          <w:tcPr>
            <w:tcW w:w="575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501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  <w:t>水厂名称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  <w:t>水源名称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  <w:t>水源</w:t>
            </w:r>
          </w:p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  <w:t>类型</w:t>
            </w:r>
          </w:p>
        </w:tc>
        <w:tc>
          <w:tcPr>
            <w:tcW w:w="675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  <w:t>水源所在乡镇（街道）</w:t>
            </w:r>
          </w:p>
        </w:tc>
        <w:tc>
          <w:tcPr>
            <w:tcW w:w="6180" w:type="dxa"/>
            <w:gridSpan w:val="6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  <w:t>保护区范围划分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blHeader/>
          <w:jc w:val="center"/>
        </w:trPr>
        <w:tc>
          <w:tcPr>
            <w:tcW w:w="641" w:type="dxa"/>
            <w:vMerge w:val="continue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黑体_GBK"/>
                <w:bCs/>
                <w:szCs w:val="21"/>
                <w:lang w:bidi="ar"/>
              </w:rPr>
            </w:pPr>
          </w:p>
        </w:tc>
        <w:tc>
          <w:tcPr>
            <w:tcW w:w="575" w:type="dxa"/>
            <w:vMerge w:val="continue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黑体_GBK"/>
                <w:bCs/>
                <w:szCs w:val="21"/>
                <w:lang w:bidi="ar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Times New Roman" w:hAnsi="Times New Roman" w:eastAsia="方正黑体_GBK"/>
                <w:bCs/>
                <w:szCs w:val="21"/>
                <w:lang w:bidi="ar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Times New Roman" w:hAnsi="Times New Roman" w:eastAsia="方正黑体_GBK"/>
                <w:bCs/>
                <w:szCs w:val="21"/>
                <w:lang w:bidi="ar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Times New Roman" w:hAnsi="Times New Roman" w:eastAsia="方正黑体_GBK"/>
                <w:bCs/>
                <w:szCs w:val="21"/>
                <w:lang w:bidi="ar"/>
              </w:rPr>
            </w:pPr>
          </w:p>
        </w:tc>
        <w:tc>
          <w:tcPr>
            <w:tcW w:w="675" w:type="dxa"/>
            <w:vMerge w:val="continue"/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Times New Roman" w:hAnsi="Times New Roman" w:eastAsia="方正黑体_GBK"/>
                <w:bCs/>
                <w:szCs w:val="21"/>
                <w:lang w:bidi="ar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  <w:t>一级保护区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  <w:t>二级保护区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  <w:t>准保护区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blHeader/>
          <w:jc w:val="center"/>
        </w:trPr>
        <w:tc>
          <w:tcPr>
            <w:tcW w:w="641" w:type="dxa"/>
            <w:vMerge w:val="continue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黑体_GBK"/>
                <w:bCs/>
                <w:szCs w:val="21"/>
                <w:lang w:bidi="ar"/>
              </w:rPr>
            </w:pPr>
          </w:p>
        </w:tc>
        <w:tc>
          <w:tcPr>
            <w:tcW w:w="575" w:type="dxa"/>
            <w:vMerge w:val="continue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 w:eastAsia="方正黑体_GBK"/>
                <w:bCs/>
                <w:szCs w:val="21"/>
                <w:lang w:bidi="ar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Times New Roman" w:hAnsi="Times New Roman" w:eastAsia="方正黑体_GBK"/>
                <w:bCs/>
                <w:szCs w:val="21"/>
                <w:lang w:bidi="ar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Times New Roman" w:hAnsi="Times New Roman" w:eastAsia="方正黑体_GBK"/>
                <w:bCs/>
                <w:szCs w:val="21"/>
                <w:lang w:bidi="ar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Times New Roman" w:hAnsi="Times New Roman" w:eastAsia="方正黑体_GBK"/>
                <w:bCs/>
                <w:szCs w:val="21"/>
                <w:lang w:bidi="ar"/>
              </w:rPr>
            </w:pPr>
          </w:p>
        </w:tc>
        <w:tc>
          <w:tcPr>
            <w:tcW w:w="675" w:type="dxa"/>
            <w:vMerge w:val="continue"/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Times New Roman" w:hAnsi="Times New Roman" w:eastAsia="方正黑体_GBK"/>
                <w:bCs/>
                <w:szCs w:val="21"/>
                <w:lang w:bidi="ar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  <w:t>水域范围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  <w:t>陆域范围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  <w:t>水域范围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  <w:t>陆域范围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  <w:t>水域范围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  <w:t>陆域范围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jc w:val="center"/>
        </w:trPr>
        <w:tc>
          <w:tcPr>
            <w:tcW w:w="641" w:type="dxa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  <w:lang w:bidi="ar"/>
              </w:rPr>
              <w:t>忠县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  <w:lang w:bidi="ar"/>
              </w:rPr>
              <w:t>1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  <w:lang w:bidi="ar"/>
              </w:rPr>
              <w:t>磨子水厂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  <w:lang w:bidi="ar"/>
              </w:rPr>
              <w:t>忠石大堰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  <w:lang w:bidi="ar"/>
              </w:rPr>
              <w:t>河流型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  <w:lang w:bidi="ar"/>
              </w:rPr>
              <w:t>磨子乡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textAlignment w:val="center"/>
              <w:rPr>
                <w:rFonts w:ascii="Times New Roman" w:hAnsi="Times New Roman" w:eastAsia="方正仿宋_GBK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  <w:lang w:bidi="ar"/>
              </w:rPr>
              <w:t>大堰取水口上游 1000米至下游蓄水池，多年平均水位对应的高程线以下的全部</w:t>
            </w:r>
          </w:p>
          <w:p>
            <w:pPr>
              <w:widowControl/>
              <w:snapToGrid w:val="0"/>
              <w:spacing w:line="260" w:lineRule="exact"/>
              <w:textAlignment w:val="center"/>
              <w:rPr>
                <w:rFonts w:ascii="Times New Roman" w:hAnsi="Times New Roman" w:eastAsia="方正仿宋_GBK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  <w:lang w:bidi="ar"/>
              </w:rPr>
              <w:t>水域。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textAlignment w:val="center"/>
              <w:rPr>
                <w:rFonts w:ascii="Times New Roman" w:hAnsi="Times New Roman" w:eastAsia="方正仿宋_GBK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  <w:lang w:bidi="ar"/>
              </w:rPr>
              <w:t>大堰干渠多年平均 水位线两侧纵深50 米范围的陆域，蓄水 池水域外200米范围内的陆域，但不超过流域分水岭，陆域沿岸长度与一级保护区水域长度相同。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textAlignment w:val="center"/>
              <w:rPr>
                <w:rFonts w:ascii="Times New Roman" w:hAnsi="Times New Roman" w:eastAsia="方正仿宋_GBK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  <w:lang w:bidi="ar"/>
              </w:rPr>
              <w:t>大堰取水口上游1000米至3000米，多年平均水位对应的高程线以下的全部</w:t>
            </w:r>
          </w:p>
          <w:p>
            <w:pPr>
              <w:widowControl/>
              <w:snapToGrid w:val="0"/>
              <w:spacing w:line="260" w:lineRule="exact"/>
              <w:textAlignment w:val="center"/>
              <w:rPr>
                <w:rFonts w:ascii="Times New Roman" w:hAnsi="Times New Roman" w:eastAsia="方正仿宋_GBK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  <w:lang w:bidi="ar"/>
              </w:rPr>
              <w:t>水域。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textAlignment w:val="center"/>
              <w:rPr>
                <w:rFonts w:ascii="Times New Roman" w:hAnsi="Times New Roman" w:eastAsia="方正仿宋_GBK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  <w:lang w:bidi="ar"/>
              </w:rPr>
              <w:t>一级保护区外，大堰干渠多年平均水位线两侧纵深50米范围的陆域，但不超过分水岭，陆域沿岸长度与二级保护区水域长度相同。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  <w:lang w:bidi="ar"/>
              </w:rPr>
              <w:t>/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  <w:lang w:bidi="ar"/>
              </w:rPr>
              <w:t>/</w:t>
            </w:r>
          </w:p>
        </w:tc>
      </w:tr>
    </w:tbl>
    <w:p>
      <w:pPr>
        <w:numPr>
          <w:ilvl w:val="0"/>
          <w:numId w:val="1"/>
        </w:numPr>
        <w:ind w:firstLine="640" w:firstLineChars="200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撤销1个集中式饮用水水源地保护区</w:t>
      </w:r>
    </w:p>
    <w:tbl>
      <w:tblPr>
        <w:tblStyle w:val="5"/>
        <w:tblW w:w="9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1"/>
        <w:gridCol w:w="360"/>
        <w:gridCol w:w="1753"/>
        <w:gridCol w:w="555"/>
        <w:gridCol w:w="765"/>
        <w:gridCol w:w="1271"/>
        <w:gridCol w:w="634"/>
        <w:gridCol w:w="1571"/>
        <w:gridCol w:w="724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blHeader/>
          <w:jc w:val="center"/>
        </w:trPr>
        <w:tc>
          <w:tcPr>
            <w:tcW w:w="1071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  <w:t>区县</w:t>
            </w:r>
            <w:r>
              <w:rPr>
                <w:rFonts w:hint="eastAsia" w:ascii="Times New Roman" w:hAnsi="Times New Roman" w:eastAsia="方正黑体_GBK"/>
                <w:bCs/>
                <w:kern w:val="0"/>
                <w:szCs w:val="21"/>
                <w:lang w:eastAsia="zh-CN" w:bidi="ar"/>
              </w:rPr>
              <w:br w:type="textWrapping"/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szCs w:val="21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  <w:t>（自治县）</w:t>
            </w:r>
          </w:p>
        </w:tc>
        <w:tc>
          <w:tcPr>
            <w:tcW w:w="36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szCs w:val="21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75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szCs w:val="21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  <w:t>水厂名称</w:t>
            </w: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szCs w:val="21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  <w:t>水源名称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  <w:t>水源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szCs w:val="21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  <w:t>类型</w:t>
            </w:r>
          </w:p>
        </w:tc>
        <w:tc>
          <w:tcPr>
            <w:tcW w:w="1271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szCs w:val="21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  <w:t>水源所在乡镇（街道）</w:t>
            </w:r>
          </w:p>
        </w:tc>
        <w:tc>
          <w:tcPr>
            <w:tcW w:w="3934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szCs w:val="21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  <w:t>保护区范围划分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blHeader/>
          <w:jc w:val="center"/>
        </w:trPr>
        <w:tc>
          <w:tcPr>
            <w:tcW w:w="10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/>
                <w:bCs/>
                <w:szCs w:val="21"/>
              </w:rPr>
            </w:pPr>
          </w:p>
        </w:tc>
        <w:tc>
          <w:tcPr>
            <w:tcW w:w="36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/>
                <w:bCs/>
                <w:szCs w:val="21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方正黑体_GBK"/>
                <w:bCs/>
                <w:szCs w:val="21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方正黑体_GBK"/>
                <w:bCs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方正黑体_GBK"/>
                <w:bCs/>
                <w:szCs w:val="21"/>
              </w:rPr>
            </w:pP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方正黑体_GBK"/>
                <w:bCs/>
                <w:szCs w:val="21"/>
              </w:rPr>
            </w:pP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szCs w:val="21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  <w:t>一级保护区</w:t>
            </w: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szCs w:val="21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  <w:t>二级保护区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8" w:hRule="atLeast"/>
          <w:tblHeader/>
          <w:jc w:val="center"/>
        </w:trPr>
        <w:tc>
          <w:tcPr>
            <w:tcW w:w="10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/>
                <w:bCs/>
                <w:szCs w:val="21"/>
              </w:rPr>
            </w:pPr>
          </w:p>
        </w:tc>
        <w:tc>
          <w:tcPr>
            <w:tcW w:w="36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/>
                <w:bCs/>
                <w:szCs w:val="21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方正黑体_GBK"/>
                <w:bCs/>
                <w:szCs w:val="21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方正黑体_GBK"/>
                <w:bCs/>
                <w:szCs w:val="21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方正黑体_GBK"/>
                <w:bCs/>
                <w:szCs w:val="21"/>
              </w:rPr>
            </w:pP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方正黑体_GBK"/>
                <w:bCs/>
                <w:szCs w:val="21"/>
              </w:rPr>
            </w:pPr>
          </w:p>
        </w:tc>
        <w:tc>
          <w:tcPr>
            <w:tcW w:w="634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szCs w:val="21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  <w:t>水域范围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szCs w:val="21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  <w:t>陆域范围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szCs w:val="21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  <w:t>水域范围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黑体_GBK"/>
                <w:bCs/>
                <w:szCs w:val="21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Cs w:val="21"/>
                <w:lang w:bidi="ar"/>
              </w:rPr>
              <w:t>陆域范围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38" w:hRule="atLeast"/>
          <w:jc w:val="center"/>
        </w:trPr>
        <w:tc>
          <w:tcPr>
            <w:tcW w:w="1071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忠县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忠县乌杨水厂、忠县磨子水厂、磨子乡堰口、阮冲、马耳蓄水池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磨子水库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水库型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磨子乡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整个水域。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洪水期正常水位库岸四周水平纵深30米范围内的陆域。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/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/</w:t>
            </w:r>
          </w:p>
        </w:tc>
      </w:tr>
    </w:tbl>
    <w:p>
      <w:pPr>
        <w:pStyle w:val="2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sectPr>
          <w:pgSz w:w="11906" w:h="16838"/>
          <w:pgMar w:top="1962" w:right="1474" w:bottom="1848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 w:val="0"/>
      <w:overflowPunct/>
      <w:topLinePunct w:val="0"/>
      <w:autoSpaceDE/>
      <w:autoSpaceDN/>
      <w:bidi w:val="0"/>
      <w:adjustRightInd/>
      <w:snapToGrid w:val="0"/>
      <w:spacing w:before="0" w:beforeLines="100" w:line="240" w:lineRule="auto"/>
      <w:ind w:left="1065" w:leftChars="507" w:right="0" w:rightChars="0" w:firstLine="10115" w:firstLineChars="3161"/>
      <w:jc w:val="right"/>
      <w:textAlignment w:val="auto"/>
      <w:outlineLvl w:val="9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312420</wp:posOffset>
              </wp:positionV>
              <wp:extent cx="5616575" cy="1905"/>
              <wp:effectExtent l="0" t="10795" r="3175" b="15875"/>
              <wp:wrapNone/>
              <wp:docPr id="7" name="直接连接符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24.6pt;height:0.15pt;width:442.25pt;z-index:251660288;mso-width-relative:page;mso-height-relative:page;" filled="f" stroked="t" coordsize="21600,21600" o:gfxdata="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jKOytQA&#10;AAAHAQAADwAAAAAAAAABACAAAAAiAAAAZHJzL2Rvd25yZXYueG1sUEsBAhQAFAAAAAgAh07iQFjh&#10;Y/LqAQAAtQMAAA4AAAAAAAAAAQAgAAAAIwEAAGRycy9lMm9Eb2MueG1sUEsFBgAAAAAGAAYAWQEA&#10;AH8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Hans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忠县人民政府办公室发布     </w:t>
    </w:r>
  </w:p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 w:val="0"/>
      <w:overflowPunct/>
      <w:topLinePunct w:val="0"/>
      <w:autoSpaceDE/>
      <w:autoSpaceDN/>
      <w:bidi w:val="0"/>
      <w:adjustRightInd/>
      <w:snapToGrid w:val="0"/>
      <w:spacing w:before="0" w:beforeLines="100" w:line="240" w:lineRule="auto"/>
      <w:ind w:left="1065" w:leftChars="507" w:right="0" w:rightChars="0" w:firstLine="10115" w:firstLineChars="3161"/>
      <w:jc w:val="right"/>
      <w:textAlignment w:val="auto"/>
      <w:outlineLvl w:val="9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312420</wp:posOffset>
              </wp:positionV>
              <wp:extent cx="5616575" cy="1905"/>
              <wp:effectExtent l="0" t="0" r="0" b="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24.6pt;height:0.15pt;width:442.25pt;z-index:251660288;mso-width-relative:page;mso-height-relative:page;" filled="f" stroked="t" coordsize="21600,21600" o:gfxdata="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jKOytQA&#10;AAAHAQAADwAAAAAAAAABACAAAAAiAAAAZHJzL2Rvd25yZXYueG1sUEsBAhQAFAAAAAgAh07iQElI&#10;j5/qAQAAtQMAAA4AAAAAAAAAAQAgAAAAIwEAAGRycy9lMm9Eb2MueG1sUEsFBgAAAAAGAAYAWQEA&#10;AH8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Hans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忠县人民政府办公室发布     </w:t>
    </w:r>
  </w:p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407035</wp:posOffset>
              </wp:positionV>
              <wp:extent cx="5620385" cy="0"/>
              <wp:effectExtent l="0" t="10795" r="18415" b="1778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32.05pt;height:0pt;width:442.55pt;z-index:251659264;mso-width-relative:page;mso-height-relative:page;" filled="f" stroked="t" coordsize="21600,21600" o:gfxdata="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7hTLrTAAAABgEA&#10;AA8AAAAAAAAAAQAgAAAAIgAAAGRycy9kb3ducmV2LnhtbFBLAQIUABQAAAAIAIdO4kCKRj3L5gEA&#10;ALIDAAAOAAAAAAAAAAEAIAAAACIBAABkcnMvZTJvRG9jLnhtbFBLBQYAAAAABgAGAFkBAAB6BQAA&#10;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忠县人民政府行政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407035</wp:posOffset>
              </wp:positionV>
              <wp:extent cx="5620385" cy="0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32.05pt;height:0pt;width:442.55pt;z-index:251659264;mso-width-relative:page;mso-height-relative:page;" filled="f" stroked="t" coordsize="21600,21600" o:gfxdata="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O4Uy60wAAAAYB&#10;AAAPAAAAAAAAAAEAIAAAACIAAABkcnMvZG93bnJldi54bWxQSwECFAAUAAAACACHTuJAsNGj1ucB&#10;AACyAwAADgAAAAAAAAABACAAAAAiAQAAZHJzL2Uyb0RvYy54bWxQSwUGAAAAAAYABgBZAQAAewUA&#10;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" name="图片 2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忠县人民政府行政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5268BE"/>
    <w:multiLevelType w:val="singleLevel"/>
    <w:tmpl w:val="5C5268B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jNDE3ZTAyMDM0NmQyZDQ4YmRjY2QyYTJiNmM3OTcifQ=="/>
  </w:docVars>
  <w:rsids>
    <w:rsidRoot w:val="3C7E06D4"/>
    <w:rsid w:val="149A3C1F"/>
    <w:rsid w:val="17982698"/>
    <w:rsid w:val="18023FB5"/>
    <w:rsid w:val="1E6C03DB"/>
    <w:rsid w:val="1E7554E1"/>
    <w:rsid w:val="210C7C53"/>
    <w:rsid w:val="29FB0417"/>
    <w:rsid w:val="339E0BDF"/>
    <w:rsid w:val="344A6670"/>
    <w:rsid w:val="34AB35B3"/>
    <w:rsid w:val="3C7E06D4"/>
    <w:rsid w:val="3DFC4E7F"/>
    <w:rsid w:val="44112358"/>
    <w:rsid w:val="46DA7D28"/>
    <w:rsid w:val="48793076"/>
    <w:rsid w:val="49AD7747"/>
    <w:rsid w:val="506D39BB"/>
    <w:rsid w:val="608A0CED"/>
    <w:rsid w:val="65362175"/>
    <w:rsid w:val="7977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sfj</Company>
  <Pages>3</Pages>
  <Words>929</Words>
  <Characters>957</Characters>
  <Lines>0</Lines>
  <Paragraphs>0</Paragraphs>
  <TotalTime>1</TotalTime>
  <ScaleCrop>false</ScaleCrop>
  <LinksUpToDate>false</LinksUpToDate>
  <CharactersWithSpaces>963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2022-06-09T06:30:00Z</dcterms:created>
  <dc:creator>Administrator</dc:creator>
  <cp:lastModifiedBy>冉妹儿</cp:lastModifiedBy>
  <dcterms:modified xsi:type="dcterms:W3CDTF">2023-02-03T02:19:20Z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3FC7F4809DA54A1791408B0D451A0886</vt:lpwstr>
  </property>
</Properties>
</file>