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shd w:val="clear" w:fill="FFFFFF"/>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shd w:val="clear" w:fill="FFFFFF"/>
        </w:rPr>
      </w:pPr>
    </w:p>
    <w:p>
      <w:pPr>
        <w:tabs>
          <w:tab w:val="left" w:pos="672"/>
          <w:tab w:val="center" w:pos="4422"/>
        </w:tabs>
        <w:spacing w:line="660" w:lineRule="exact"/>
        <w:contextualSpacing/>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忠县人民政府</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i w:val="0"/>
          <w:caps w:val="0"/>
          <w:color w:val="000000"/>
          <w:spacing w:val="0"/>
          <w:sz w:val="44"/>
          <w:szCs w:val="44"/>
        </w:rPr>
      </w:pPr>
      <w:r>
        <w:rPr>
          <w:rFonts w:hint="default" w:ascii="Times New Roman" w:hAnsi="Times New Roman" w:eastAsia="方正小标宋_GBK" w:cs="Times New Roman"/>
          <w:sz w:val="44"/>
          <w:szCs w:val="44"/>
        </w:rPr>
        <w:t>关于划定</w:t>
      </w:r>
      <w:r>
        <w:rPr>
          <w:rFonts w:hint="default" w:ascii="Times New Roman" w:hAnsi="Times New Roman" w:eastAsia="方正小标宋_GBK" w:cs="Times New Roman"/>
          <w:bCs/>
          <w:sz w:val="44"/>
          <w:szCs w:val="44"/>
        </w:rPr>
        <w:t>高污染燃料禁燃区的通告</w:t>
      </w:r>
    </w:p>
    <w:p>
      <w:pPr>
        <w:spacing w:line="560" w:lineRule="exact"/>
        <w:jc w:val="center"/>
        <w:outlineLvl w:val="0"/>
        <w:rPr>
          <w:rFonts w:hint="default" w:ascii="Times New Roman" w:hAnsi="Times New Roman" w:eastAsia="方正小标宋_GBK" w:cs="Times New Roman"/>
          <w:bCs/>
          <w:sz w:val="32"/>
          <w:szCs w:val="32"/>
        </w:rPr>
      </w:pPr>
      <w:r>
        <w:rPr>
          <w:rFonts w:hint="default" w:ascii="Times New Roman" w:hAnsi="Times New Roman" w:eastAsia="方正仿宋_GBK" w:cs="Times New Roman"/>
          <w:bCs/>
          <w:sz w:val="32"/>
          <w:szCs w:val="32"/>
        </w:rPr>
        <w:t>忠府发〔2022〕29号</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spacing w:line="560" w:lineRule="exact"/>
        <w:ind w:firstLine="640" w:firstLineChars="200"/>
        <w:contextualSpacing/>
        <w:rPr>
          <w:rFonts w:ascii="Times New Roman" w:hAnsi="Times New Roman"/>
          <w:sz w:val="32"/>
          <w:szCs w:val="32"/>
        </w:rPr>
      </w:pPr>
      <w:r>
        <w:rPr>
          <w:rFonts w:ascii="Times New Roman" w:eastAsia="方正仿宋_GBK"/>
          <w:color w:val="000000"/>
          <w:sz w:val="32"/>
          <w:szCs w:val="32"/>
        </w:rPr>
        <w:t>为进一步改善城市空气环境质量，保障人民群众身体健康，</w:t>
      </w:r>
      <w:r>
        <w:rPr>
          <w:rFonts w:ascii="Times New Roman" w:eastAsia="方正仿宋_GBK"/>
          <w:sz w:val="32"/>
          <w:szCs w:val="32"/>
        </w:rPr>
        <w:t>根据《中华人民共和国大气污染防治法》《重庆市大气污染防治条例》《环境保护部关于发布〈高污染燃料目录〉的通知》（国环规大气〔</w:t>
      </w:r>
      <w:r>
        <w:rPr>
          <w:rFonts w:ascii="Times New Roman" w:hAnsi="Times New Roman" w:eastAsia="方正仿宋_GBK"/>
          <w:sz w:val="32"/>
          <w:szCs w:val="32"/>
        </w:rPr>
        <w:t>2017</w:t>
      </w:r>
      <w:r>
        <w:rPr>
          <w:rFonts w:ascii="Times New Roman" w:eastAsia="方正仿宋_GBK"/>
          <w:sz w:val="32"/>
          <w:szCs w:val="32"/>
        </w:rPr>
        <w:t>〕</w:t>
      </w:r>
      <w:r>
        <w:rPr>
          <w:rFonts w:ascii="Times New Roman" w:hAnsi="Times New Roman" w:eastAsia="方正仿宋_GBK"/>
          <w:sz w:val="32"/>
          <w:szCs w:val="32"/>
        </w:rPr>
        <w:t>2</w:t>
      </w:r>
      <w:r>
        <w:rPr>
          <w:rFonts w:ascii="Times New Roman" w:eastAsia="方正仿宋_GBK"/>
          <w:sz w:val="32"/>
          <w:szCs w:val="32"/>
        </w:rPr>
        <w:t>号）</w:t>
      </w:r>
      <w:r>
        <w:rPr>
          <w:rFonts w:hint="eastAsia" w:ascii="Times New Roman" w:eastAsia="方正仿宋_GBK"/>
          <w:sz w:val="32"/>
          <w:szCs w:val="32"/>
        </w:rPr>
        <w:t>等文件规定</w:t>
      </w:r>
      <w:r>
        <w:rPr>
          <w:rFonts w:ascii="Times New Roman" w:eastAsia="方正仿宋_GBK"/>
          <w:sz w:val="32"/>
          <w:szCs w:val="32"/>
        </w:rPr>
        <w:t>，</w:t>
      </w:r>
      <w:r>
        <w:rPr>
          <w:rFonts w:hint="eastAsia" w:ascii="Times New Roman" w:eastAsia="方正仿宋_GBK"/>
          <w:sz w:val="32"/>
          <w:szCs w:val="32"/>
        </w:rPr>
        <w:t>结合我县实际，</w:t>
      </w:r>
      <w:r>
        <w:rPr>
          <w:rFonts w:ascii="Times New Roman" w:eastAsia="方正仿宋_GBK"/>
          <w:sz w:val="32"/>
          <w:szCs w:val="32"/>
        </w:rPr>
        <w:t>决定</w:t>
      </w:r>
      <w:r>
        <w:rPr>
          <w:rFonts w:hint="eastAsia" w:ascii="Times New Roman" w:eastAsia="方正仿宋_GBK"/>
          <w:sz w:val="32"/>
          <w:szCs w:val="32"/>
        </w:rPr>
        <w:t>扩大</w:t>
      </w:r>
      <w:r>
        <w:rPr>
          <w:rFonts w:ascii="Times New Roman" w:eastAsia="方正仿宋_GBK"/>
          <w:sz w:val="32"/>
          <w:szCs w:val="32"/>
        </w:rPr>
        <w:t>高污染燃料禁燃区（以下简称禁燃区）。现将有关事项通告如下：</w:t>
      </w:r>
    </w:p>
    <w:p>
      <w:pPr>
        <w:spacing w:line="560" w:lineRule="exact"/>
        <w:ind w:firstLine="800" w:firstLineChars="250"/>
        <w:contextualSpacing/>
        <w:rPr>
          <w:rFonts w:hint="eastAsia" w:ascii="Times New Roman" w:hAnsi="Times New Roman" w:eastAsia="方正黑体_GBK" w:cs="方正黑体_GBK"/>
          <w:sz w:val="32"/>
          <w:szCs w:val="32"/>
        </w:rPr>
      </w:pPr>
      <w:r>
        <w:rPr>
          <w:rFonts w:hint="eastAsia" w:ascii="Times New Roman" w:hAnsi="方正黑体_GBK" w:eastAsia="方正黑体_GBK" w:cs="方正黑体_GBK"/>
          <w:sz w:val="32"/>
          <w:szCs w:val="32"/>
        </w:rPr>
        <w:t>一、禁燃区的定义</w:t>
      </w:r>
    </w:p>
    <w:p>
      <w:pPr>
        <w:spacing w:line="560" w:lineRule="exact"/>
        <w:ind w:firstLine="640" w:firstLineChars="200"/>
        <w:contextualSpacing/>
        <w:rPr>
          <w:rFonts w:ascii="Times New Roman" w:hAnsi="Times New Roman" w:eastAsia="方正仿宋_GBK"/>
          <w:sz w:val="32"/>
          <w:szCs w:val="32"/>
        </w:rPr>
      </w:pPr>
      <w:r>
        <w:rPr>
          <w:rFonts w:ascii="Times New Roman" w:eastAsia="方正仿宋_GBK"/>
          <w:sz w:val="32"/>
          <w:szCs w:val="32"/>
        </w:rPr>
        <w:t>禁燃区是指政府划定的禁止销售、使用高污染燃料的区域，该区域内的单位和个人应在政府规定的期限内停止燃用高污染燃料，改用天然气、页岩气、液化石油气、电或者其他清洁能源。</w:t>
      </w:r>
    </w:p>
    <w:p>
      <w:pPr>
        <w:spacing w:line="560" w:lineRule="exact"/>
        <w:ind w:firstLine="640" w:firstLineChars="200"/>
        <w:contextualSpacing/>
        <w:rPr>
          <w:rFonts w:ascii="Times New Roman" w:hAnsi="Times New Roman" w:eastAsia="方正黑体_GBK"/>
          <w:sz w:val="32"/>
          <w:szCs w:val="32"/>
        </w:rPr>
      </w:pPr>
      <w:r>
        <w:rPr>
          <w:rFonts w:hint="eastAsia" w:ascii="Times New Roman" w:eastAsia="方正黑体_GBK"/>
          <w:sz w:val="32"/>
          <w:szCs w:val="32"/>
        </w:rPr>
        <w:t>二、</w:t>
      </w:r>
      <w:r>
        <w:rPr>
          <w:rFonts w:ascii="Times New Roman" w:eastAsia="方正黑体_GBK"/>
          <w:sz w:val="32"/>
          <w:szCs w:val="32"/>
        </w:rPr>
        <w:t>禁燃区划定范围</w:t>
      </w:r>
    </w:p>
    <w:p>
      <w:pPr>
        <w:spacing w:line="560" w:lineRule="exact"/>
        <w:ind w:firstLine="640" w:firstLineChars="200"/>
        <w:contextualSpacing/>
        <w:rPr>
          <w:rFonts w:ascii="Times New Roman" w:hAnsi="Times New Roman" w:eastAsia="方正仿宋_GBK"/>
          <w:color w:val="000000"/>
          <w:sz w:val="32"/>
          <w:szCs w:val="32"/>
        </w:rPr>
      </w:pPr>
      <w:r>
        <w:rPr>
          <w:rFonts w:ascii="Times New Roman" w:eastAsia="方正仿宋_GBK"/>
          <w:color w:val="000000"/>
          <w:sz w:val="32"/>
          <w:szCs w:val="32"/>
        </w:rPr>
        <w:t>禁燃区划定总面积约</w:t>
      </w:r>
      <w:r>
        <w:rPr>
          <w:rFonts w:ascii="Times New Roman" w:hAnsi="Times New Roman" w:eastAsia="方正仿宋_GBK"/>
          <w:color w:val="000000"/>
          <w:sz w:val="32"/>
          <w:szCs w:val="32"/>
        </w:rPr>
        <w:t>19.59</w:t>
      </w:r>
      <w:r>
        <w:rPr>
          <w:rFonts w:ascii="Times New Roman" w:eastAsia="方正仿宋_GBK"/>
          <w:color w:val="000000"/>
          <w:sz w:val="32"/>
          <w:szCs w:val="32"/>
        </w:rPr>
        <w:t>平方公里：</w:t>
      </w:r>
      <w:r>
        <w:rPr>
          <w:rFonts w:ascii="Times New Roman" w:eastAsia="方正仿宋_GBK"/>
          <w:sz w:val="32"/>
          <w:szCs w:val="32"/>
        </w:rPr>
        <w:t>忠州街道严颜路社区、东坡路社区、十字街社区、北门路社区、白桥溪社区、鸣玉溪社区、州屏路社区、香山社区、红星社区、中博社区、</w:t>
      </w:r>
      <w:r>
        <w:rPr>
          <w:rFonts w:ascii="Times New Roman" w:eastAsia="方正仿宋_GBK"/>
          <w:color w:val="000000"/>
          <w:sz w:val="32"/>
          <w:szCs w:val="32"/>
        </w:rPr>
        <w:t>郑公社区（</w:t>
      </w:r>
      <w:r>
        <w:rPr>
          <w:rFonts w:ascii="Times New Roman" w:hAnsi="Times New Roman" w:eastAsia="方正仿宋_GBK"/>
          <w:color w:val="000000"/>
          <w:sz w:val="32"/>
          <w:szCs w:val="32"/>
        </w:rPr>
        <w:t>4</w:t>
      </w:r>
      <w:r>
        <w:rPr>
          <w:rFonts w:ascii="Times New Roman" w:eastAsia="方正仿宋_GBK"/>
          <w:color w:val="000000"/>
          <w:sz w:val="32"/>
          <w:szCs w:val="32"/>
        </w:rPr>
        <w:t>组、</w:t>
      </w:r>
      <w:r>
        <w:rPr>
          <w:rFonts w:ascii="Times New Roman" w:hAnsi="Times New Roman" w:eastAsia="方正仿宋_GBK"/>
          <w:color w:val="000000"/>
          <w:sz w:val="32"/>
          <w:szCs w:val="32"/>
        </w:rPr>
        <w:t>5</w:t>
      </w:r>
      <w:r>
        <w:rPr>
          <w:rFonts w:ascii="Times New Roman" w:eastAsia="方正仿宋_GBK"/>
          <w:color w:val="000000"/>
          <w:sz w:val="32"/>
          <w:szCs w:val="32"/>
        </w:rPr>
        <w:t>组、</w:t>
      </w:r>
      <w:r>
        <w:rPr>
          <w:rFonts w:ascii="Times New Roman" w:hAnsi="Times New Roman" w:eastAsia="方正仿宋_GBK"/>
          <w:color w:val="000000"/>
          <w:sz w:val="32"/>
          <w:szCs w:val="32"/>
        </w:rPr>
        <w:t>6</w:t>
      </w:r>
      <w:r>
        <w:rPr>
          <w:rFonts w:ascii="Times New Roman" w:eastAsia="方正仿宋_GBK"/>
          <w:color w:val="000000"/>
          <w:sz w:val="32"/>
          <w:szCs w:val="32"/>
        </w:rPr>
        <w:t>组、</w:t>
      </w:r>
      <w:r>
        <w:rPr>
          <w:rFonts w:ascii="Times New Roman" w:hAnsi="Times New Roman" w:eastAsia="方正仿宋_GBK"/>
          <w:color w:val="000000"/>
          <w:sz w:val="32"/>
          <w:szCs w:val="32"/>
        </w:rPr>
        <w:t>7</w:t>
      </w:r>
      <w:r>
        <w:rPr>
          <w:rFonts w:ascii="Times New Roman" w:eastAsia="方正仿宋_GBK"/>
          <w:color w:val="000000"/>
          <w:sz w:val="32"/>
          <w:szCs w:val="32"/>
        </w:rPr>
        <w:t>组、</w:t>
      </w:r>
      <w:r>
        <w:rPr>
          <w:rFonts w:ascii="Times New Roman" w:hAnsi="Times New Roman" w:eastAsia="方正仿宋_GBK"/>
          <w:color w:val="000000"/>
          <w:sz w:val="32"/>
          <w:szCs w:val="32"/>
        </w:rPr>
        <w:t>8</w:t>
      </w:r>
      <w:r>
        <w:rPr>
          <w:rFonts w:ascii="Times New Roman" w:eastAsia="方正仿宋_GBK"/>
          <w:color w:val="000000"/>
          <w:sz w:val="32"/>
          <w:szCs w:val="32"/>
        </w:rPr>
        <w:t>组、</w:t>
      </w:r>
      <w:r>
        <w:rPr>
          <w:rFonts w:ascii="Times New Roman" w:hAnsi="Times New Roman" w:eastAsia="方正仿宋_GBK"/>
          <w:color w:val="000000"/>
          <w:sz w:val="32"/>
          <w:szCs w:val="32"/>
        </w:rPr>
        <w:t>9</w:t>
      </w:r>
      <w:r>
        <w:rPr>
          <w:rFonts w:ascii="Times New Roman" w:eastAsia="方正仿宋_GBK"/>
          <w:color w:val="000000"/>
          <w:sz w:val="32"/>
          <w:szCs w:val="32"/>
        </w:rPr>
        <w:t>组、</w:t>
      </w:r>
      <w:r>
        <w:rPr>
          <w:rFonts w:ascii="Times New Roman" w:hAnsi="Times New Roman" w:eastAsia="方正仿宋_GBK"/>
          <w:color w:val="000000"/>
          <w:sz w:val="32"/>
          <w:szCs w:val="32"/>
        </w:rPr>
        <w:t>10</w:t>
      </w:r>
      <w:r>
        <w:rPr>
          <w:rFonts w:ascii="Times New Roman" w:eastAsia="方正仿宋_GBK"/>
          <w:color w:val="000000"/>
          <w:sz w:val="32"/>
          <w:szCs w:val="32"/>
        </w:rPr>
        <w:t>组）、苏家社区（</w:t>
      </w:r>
      <w:r>
        <w:rPr>
          <w:rFonts w:ascii="Times New Roman" w:hAnsi="Times New Roman" w:eastAsia="方正仿宋_GBK"/>
          <w:color w:val="000000"/>
          <w:sz w:val="32"/>
          <w:szCs w:val="32"/>
        </w:rPr>
        <w:t>3</w:t>
      </w:r>
      <w:r>
        <w:rPr>
          <w:rFonts w:ascii="Times New Roman" w:eastAsia="方正仿宋_GBK"/>
          <w:color w:val="000000"/>
          <w:sz w:val="32"/>
          <w:szCs w:val="32"/>
        </w:rPr>
        <w:t>组、</w:t>
      </w:r>
      <w:r>
        <w:rPr>
          <w:rFonts w:ascii="Times New Roman" w:hAnsi="Times New Roman" w:eastAsia="方正仿宋_GBK"/>
          <w:color w:val="000000"/>
          <w:sz w:val="32"/>
          <w:szCs w:val="32"/>
        </w:rPr>
        <w:t>4</w:t>
      </w:r>
      <w:r>
        <w:rPr>
          <w:rFonts w:ascii="Times New Roman" w:eastAsia="方正仿宋_GBK"/>
          <w:color w:val="000000"/>
          <w:sz w:val="32"/>
          <w:szCs w:val="32"/>
        </w:rPr>
        <w:t>组</w:t>
      </w:r>
      <w:r>
        <w:rPr>
          <w:rFonts w:ascii="Times New Roman" w:eastAsia="方正仿宋_GBK"/>
          <w:sz w:val="32"/>
          <w:szCs w:val="32"/>
        </w:rPr>
        <w:t>）、</w:t>
      </w:r>
      <w:r>
        <w:rPr>
          <w:rFonts w:ascii="Times New Roman" w:eastAsia="方正仿宋_GBK"/>
          <w:color w:val="000000"/>
          <w:sz w:val="32"/>
          <w:szCs w:val="32"/>
        </w:rPr>
        <w:t>乐天路社区、香语社区（</w:t>
      </w:r>
      <w:r>
        <w:rPr>
          <w:rFonts w:ascii="Times New Roman" w:hAnsi="Times New Roman" w:eastAsia="方正仿宋_GBK"/>
          <w:color w:val="000000"/>
          <w:sz w:val="32"/>
          <w:szCs w:val="32"/>
        </w:rPr>
        <w:t>1</w:t>
      </w:r>
      <w:r>
        <w:rPr>
          <w:rFonts w:ascii="Times New Roman" w:eastAsia="方正仿宋_GBK"/>
          <w:color w:val="000000"/>
          <w:sz w:val="32"/>
          <w:szCs w:val="32"/>
        </w:rPr>
        <w:t>组、</w:t>
      </w:r>
      <w:r>
        <w:rPr>
          <w:rFonts w:ascii="Times New Roman" w:hAnsi="Times New Roman" w:eastAsia="方正仿宋_GBK"/>
          <w:color w:val="000000"/>
          <w:sz w:val="32"/>
          <w:szCs w:val="32"/>
        </w:rPr>
        <w:t>2</w:t>
      </w:r>
      <w:r>
        <w:rPr>
          <w:rFonts w:ascii="Times New Roman" w:eastAsia="方正仿宋_GBK"/>
          <w:color w:val="000000"/>
          <w:sz w:val="32"/>
          <w:szCs w:val="32"/>
        </w:rPr>
        <w:t>组、</w:t>
      </w:r>
      <w:r>
        <w:rPr>
          <w:rFonts w:ascii="Times New Roman" w:hAnsi="Times New Roman" w:eastAsia="方正仿宋_GBK"/>
          <w:color w:val="000000"/>
          <w:sz w:val="32"/>
          <w:szCs w:val="32"/>
        </w:rPr>
        <w:t>4</w:t>
      </w:r>
      <w:r>
        <w:rPr>
          <w:rFonts w:ascii="Times New Roman" w:eastAsia="方正仿宋_GBK"/>
          <w:color w:val="000000"/>
          <w:sz w:val="32"/>
          <w:szCs w:val="32"/>
        </w:rPr>
        <w:t>组、</w:t>
      </w:r>
      <w:r>
        <w:rPr>
          <w:rFonts w:ascii="Times New Roman" w:hAnsi="Times New Roman" w:eastAsia="方正仿宋_GBK"/>
          <w:color w:val="000000"/>
          <w:sz w:val="32"/>
          <w:szCs w:val="32"/>
        </w:rPr>
        <w:t>6</w:t>
      </w:r>
      <w:r>
        <w:rPr>
          <w:rFonts w:ascii="Times New Roman" w:eastAsia="方正仿宋_GBK"/>
          <w:color w:val="000000"/>
          <w:sz w:val="32"/>
          <w:szCs w:val="32"/>
        </w:rPr>
        <w:t>组、</w:t>
      </w:r>
      <w:r>
        <w:rPr>
          <w:rFonts w:ascii="Times New Roman" w:hAnsi="Times New Roman" w:eastAsia="方正仿宋_GBK"/>
          <w:color w:val="000000"/>
          <w:sz w:val="32"/>
          <w:szCs w:val="32"/>
        </w:rPr>
        <w:t>7</w:t>
      </w:r>
      <w:r>
        <w:rPr>
          <w:rFonts w:ascii="Times New Roman" w:eastAsia="方正仿宋_GBK"/>
          <w:color w:val="000000"/>
          <w:sz w:val="32"/>
          <w:szCs w:val="32"/>
        </w:rPr>
        <w:t>组、</w:t>
      </w:r>
      <w:r>
        <w:rPr>
          <w:rFonts w:ascii="Times New Roman" w:hAnsi="Times New Roman" w:eastAsia="方正仿宋_GBK"/>
          <w:color w:val="000000"/>
          <w:sz w:val="32"/>
          <w:szCs w:val="32"/>
        </w:rPr>
        <w:t>8</w:t>
      </w:r>
      <w:r>
        <w:rPr>
          <w:rFonts w:ascii="Times New Roman" w:eastAsia="方正仿宋_GBK"/>
          <w:color w:val="000000"/>
          <w:sz w:val="32"/>
          <w:szCs w:val="32"/>
        </w:rPr>
        <w:t>组、</w:t>
      </w:r>
      <w:r>
        <w:rPr>
          <w:rFonts w:ascii="Times New Roman" w:hAnsi="Times New Roman" w:eastAsia="方正仿宋_GBK"/>
          <w:color w:val="000000"/>
          <w:sz w:val="32"/>
          <w:szCs w:val="32"/>
        </w:rPr>
        <w:t>9</w:t>
      </w:r>
      <w:r>
        <w:rPr>
          <w:rFonts w:ascii="Times New Roman" w:eastAsia="方正仿宋_GBK"/>
          <w:color w:val="000000"/>
          <w:sz w:val="32"/>
          <w:szCs w:val="32"/>
        </w:rPr>
        <w:t>组、</w:t>
      </w:r>
      <w:r>
        <w:rPr>
          <w:rFonts w:ascii="Times New Roman" w:hAnsi="Times New Roman" w:eastAsia="方正仿宋_GBK"/>
          <w:color w:val="000000"/>
          <w:sz w:val="32"/>
          <w:szCs w:val="32"/>
        </w:rPr>
        <w:t>10</w:t>
      </w:r>
      <w:r>
        <w:rPr>
          <w:rFonts w:ascii="Times New Roman" w:eastAsia="方正仿宋_GBK"/>
          <w:color w:val="000000"/>
          <w:sz w:val="32"/>
          <w:szCs w:val="32"/>
        </w:rPr>
        <w:t>组、</w:t>
      </w:r>
      <w:r>
        <w:rPr>
          <w:rFonts w:ascii="Times New Roman" w:hAnsi="Times New Roman" w:eastAsia="方正仿宋_GBK"/>
          <w:color w:val="000000"/>
          <w:sz w:val="32"/>
          <w:szCs w:val="32"/>
        </w:rPr>
        <w:t>11</w:t>
      </w:r>
      <w:r>
        <w:rPr>
          <w:rFonts w:ascii="Times New Roman" w:eastAsia="方正仿宋_GBK"/>
          <w:color w:val="000000"/>
          <w:sz w:val="32"/>
          <w:szCs w:val="32"/>
        </w:rPr>
        <w:t>组、</w:t>
      </w:r>
      <w:r>
        <w:rPr>
          <w:rFonts w:ascii="Times New Roman" w:hAnsi="Times New Roman" w:eastAsia="方正仿宋_GBK"/>
          <w:color w:val="000000"/>
          <w:sz w:val="32"/>
          <w:szCs w:val="32"/>
        </w:rPr>
        <w:t>12</w:t>
      </w:r>
      <w:r>
        <w:rPr>
          <w:rFonts w:ascii="Times New Roman" w:eastAsia="方正仿宋_GBK"/>
          <w:color w:val="000000"/>
          <w:sz w:val="32"/>
          <w:szCs w:val="32"/>
        </w:rPr>
        <w:t>组、</w:t>
      </w:r>
      <w:r>
        <w:rPr>
          <w:rFonts w:ascii="Times New Roman" w:hAnsi="Times New Roman" w:eastAsia="方正仿宋_GBK"/>
          <w:color w:val="000000"/>
          <w:sz w:val="32"/>
          <w:szCs w:val="32"/>
        </w:rPr>
        <w:t>13</w:t>
      </w:r>
      <w:r>
        <w:rPr>
          <w:rFonts w:ascii="Times New Roman" w:eastAsia="方正仿宋_GBK"/>
          <w:color w:val="000000"/>
          <w:sz w:val="32"/>
          <w:szCs w:val="32"/>
        </w:rPr>
        <w:t>组、</w:t>
      </w:r>
      <w:r>
        <w:rPr>
          <w:rFonts w:ascii="Times New Roman" w:hAnsi="Times New Roman" w:eastAsia="方正仿宋_GBK"/>
          <w:color w:val="000000"/>
          <w:sz w:val="32"/>
          <w:szCs w:val="32"/>
        </w:rPr>
        <w:t>14</w:t>
      </w:r>
      <w:r>
        <w:rPr>
          <w:rFonts w:ascii="Times New Roman" w:eastAsia="方正仿宋_GBK"/>
          <w:color w:val="000000"/>
          <w:sz w:val="32"/>
          <w:szCs w:val="32"/>
        </w:rPr>
        <w:t>组、</w:t>
      </w:r>
      <w:r>
        <w:rPr>
          <w:rFonts w:ascii="Times New Roman" w:hAnsi="Times New Roman" w:eastAsia="方正仿宋_GBK"/>
          <w:color w:val="000000"/>
          <w:sz w:val="32"/>
          <w:szCs w:val="32"/>
        </w:rPr>
        <w:t>15</w:t>
      </w:r>
      <w:r>
        <w:rPr>
          <w:rFonts w:ascii="Times New Roman" w:eastAsia="方正仿宋_GBK"/>
          <w:color w:val="000000"/>
          <w:sz w:val="32"/>
          <w:szCs w:val="32"/>
        </w:rPr>
        <w:t>组）、香怡社区、锦鸿社区，</w:t>
      </w:r>
      <w:r>
        <w:rPr>
          <w:rFonts w:ascii="Times New Roman" w:eastAsia="方正仿宋_GBK"/>
          <w:sz w:val="32"/>
          <w:szCs w:val="32"/>
        </w:rPr>
        <w:t>白公街道白公路社区、长河社区（</w:t>
      </w:r>
      <w:r>
        <w:rPr>
          <w:rFonts w:ascii="Times New Roman" w:hAnsi="Times New Roman" w:eastAsia="方正仿宋_GBK"/>
          <w:color w:val="000000"/>
          <w:sz w:val="32"/>
          <w:szCs w:val="32"/>
        </w:rPr>
        <w:t>3</w:t>
      </w:r>
      <w:r>
        <w:rPr>
          <w:rFonts w:ascii="Times New Roman" w:eastAsia="方正仿宋_GBK"/>
          <w:color w:val="000000"/>
          <w:sz w:val="32"/>
          <w:szCs w:val="32"/>
        </w:rPr>
        <w:t>组、</w:t>
      </w:r>
      <w:r>
        <w:rPr>
          <w:rFonts w:ascii="Times New Roman" w:hAnsi="Times New Roman" w:eastAsia="方正仿宋_GBK"/>
          <w:color w:val="000000"/>
          <w:sz w:val="32"/>
          <w:szCs w:val="32"/>
        </w:rPr>
        <w:t>4</w:t>
      </w:r>
      <w:r>
        <w:rPr>
          <w:rFonts w:ascii="Times New Roman" w:eastAsia="方正仿宋_GBK"/>
          <w:color w:val="000000"/>
          <w:sz w:val="32"/>
          <w:szCs w:val="32"/>
        </w:rPr>
        <w:t>组、</w:t>
      </w:r>
      <w:r>
        <w:rPr>
          <w:rFonts w:ascii="Times New Roman" w:hAnsi="Times New Roman" w:eastAsia="方正仿宋_GBK"/>
          <w:color w:val="000000"/>
          <w:sz w:val="32"/>
          <w:szCs w:val="32"/>
        </w:rPr>
        <w:t>5</w:t>
      </w:r>
      <w:r>
        <w:rPr>
          <w:rFonts w:ascii="Times New Roman" w:eastAsia="方正仿宋_GBK"/>
          <w:color w:val="000000"/>
          <w:sz w:val="32"/>
          <w:szCs w:val="32"/>
        </w:rPr>
        <w:t>组、</w:t>
      </w:r>
      <w:r>
        <w:rPr>
          <w:rFonts w:ascii="Times New Roman" w:hAnsi="Times New Roman" w:eastAsia="方正仿宋_GBK"/>
          <w:color w:val="000000"/>
          <w:sz w:val="32"/>
          <w:szCs w:val="32"/>
        </w:rPr>
        <w:t>6</w:t>
      </w:r>
      <w:r>
        <w:rPr>
          <w:rFonts w:ascii="Times New Roman" w:eastAsia="方正仿宋_GBK"/>
          <w:color w:val="000000"/>
          <w:sz w:val="32"/>
          <w:szCs w:val="32"/>
        </w:rPr>
        <w:t>组</w:t>
      </w:r>
      <w:r>
        <w:rPr>
          <w:rFonts w:ascii="Times New Roman" w:eastAsia="方正仿宋_GBK"/>
          <w:sz w:val="32"/>
          <w:szCs w:val="32"/>
        </w:rPr>
        <w:t>）。</w:t>
      </w:r>
    </w:p>
    <w:p>
      <w:pPr>
        <w:spacing w:line="560" w:lineRule="exact"/>
        <w:ind w:firstLine="800" w:firstLineChars="250"/>
        <w:contextualSpacing/>
        <w:rPr>
          <w:rFonts w:ascii="Times New Roman" w:hAnsi="Times New Roman" w:eastAsia="方正黑体_GBK"/>
          <w:sz w:val="32"/>
          <w:szCs w:val="32"/>
        </w:rPr>
      </w:pPr>
      <w:r>
        <w:rPr>
          <w:rFonts w:ascii="Times New Roman" w:eastAsia="方正黑体_GBK"/>
          <w:sz w:val="32"/>
          <w:szCs w:val="32"/>
        </w:rPr>
        <w:t>三、高污染燃料类型</w:t>
      </w:r>
    </w:p>
    <w:p>
      <w:pPr>
        <w:spacing w:line="560" w:lineRule="exact"/>
        <w:ind w:firstLine="640" w:firstLineChars="200"/>
        <w:contextualSpacing/>
        <w:rPr>
          <w:rFonts w:ascii="Times New Roman" w:hAnsi="Times New Roman" w:eastAsia="方正仿宋_GBK"/>
          <w:sz w:val="32"/>
          <w:szCs w:val="32"/>
        </w:rPr>
      </w:pPr>
      <w:r>
        <w:rPr>
          <w:rFonts w:ascii="Times New Roman" w:eastAsia="方正仿宋_GBK"/>
          <w:sz w:val="32"/>
          <w:szCs w:val="32"/>
        </w:rPr>
        <w:t>（一）煤炭及其制品。</w:t>
      </w:r>
    </w:p>
    <w:p>
      <w:pPr>
        <w:spacing w:line="560" w:lineRule="exact"/>
        <w:ind w:firstLine="640" w:firstLineChars="200"/>
        <w:contextualSpacing/>
        <w:rPr>
          <w:rFonts w:ascii="Times New Roman" w:hAnsi="Times New Roman" w:eastAsia="方正仿宋_GBK"/>
          <w:sz w:val="32"/>
          <w:szCs w:val="32"/>
        </w:rPr>
      </w:pPr>
      <w:r>
        <w:rPr>
          <w:rFonts w:ascii="Times New Roman" w:eastAsia="方正仿宋_GBK"/>
          <w:sz w:val="32"/>
          <w:szCs w:val="32"/>
        </w:rPr>
        <w:t>（二）石油焦、油页岩、原油、重油、渣油、煤焦油。</w:t>
      </w:r>
    </w:p>
    <w:p>
      <w:pPr>
        <w:spacing w:line="560" w:lineRule="exact"/>
        <w:ind w:firstLine="640" w:firstLineChars="200"/>
        <w:contextualSpacing/>
        <w:rPr>
          <w:rFonts w:ascii="Times New Roman" w:hAnsi="Times New Roman" w:eastAsia="方正仿宋_GBK"/>
          <w:sz w:val="32"/>
          <w:szCs w:val="32"/>
        </w:rPr>
      </w:pPr>
      <w:r>
        <w:rPr>
          <w:rFonts w:ascii="Times New Roman" w:eastAsia="方正仿宋_GBK"/>
          <w:sz w:val="32"/>
          <w:szCs w:val="32"/>
        </w:rPr>
        <w:t>（三）非专用锅炉或未配置高效除尘设施的专用锅炉燃用的生物质成型燃料。</w:t>
      </w:r>
    </w:p>
    <w:p>
      <w:pPr>
        <w:pStyle w:val="2"/>
        <w:spacing w:line="56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（四）木材、秸秆等国家和本市规定的高污染燃料。</w:t>
      </w:r>
    </w:p>
    <w:p>
      <w:pPr>
        <w:spacing w:line="560" w:lineRule="exact"/>
        <w:ind w:firstLine="800" w:firstLineChars="250"/>
        <w:contextualSpacing/>
        <w:rPr>
          <w:rFonts w:ascii="Times New Roman" w:hAnsi="Times New Roman" w:eastAsia="方正黑体_GBK"/>
          <w:sz w:val="32"/>
          <w:szCs w:val="32"/>
        </w:rPr>
      </w:pPr>
      <w:r>
        <w:rPr>
          <w:rFonts w:ascii="Times New Roman" w:eastAsia="方正黑体_GBK"/>
          <w:sz w:val="32"/>
          <w:szCs w:val="32"/>
        </w:rPr>
        <w:t>四、禁燃区管理要求</w:t>
      </w:r>
    </w:p>
    <w:p>
      <w:pPr>
        <w:spacing w:line="560" w:lineRule="exact"/>
        <w:ind w:firstLine="640" w:firstLineChars="200"/>
        <w:contextualSpacing/>
        <w:rPr>
          <w:rFonts w:ascii="Times New Roman" w:hAnsi="Times New Roman" w:eastAsia="方正仿宋_GBK"/>
          <w:sz w:val="32"/>
          <w:szCs w:val="32"/>
        </w:rPr>
      </w:pPr>
      <w:r>
        <w:rPr>
          <w:rFonts w:ascii="Times New Roman" w:eastAsia="方正仿宋_GBK"/>
          <w:sz w:val="32"/>
          <w:szCs w:val="32"/>
        </w:rPr>
        <w:t>（一）在禁燃区内，禁止销售、燃用高污染燃料。</w:t>
      </w:r>
    </w:p>
    <w:p>
      <w:pPr>
        <w:spacing w:line="560" w:lineRule="exact"/>
        <w:ind w:firstLine="640" w:firstLineChars="200"/>
        <w:contextualSpacing/>
        <w:rPr>
          <w:rFonts w:ascii="Times New Roman" w:hAnsi="Times New Roman" w:eastAsia="方正仿宋_GBK"/>
          <w:sz w:val="32"/>
          <w:szCs w:val="32"/>
        </w:rPr>
      </w:pPr>
      <w:r>
        <w:rPr>
          <w:rFonts w:ascii="Times New Roman" w:eastAsia="方正仿宋_GBK"/>
          <w:sz w:val="32"/>
          <w:szCs w:val="32"/>
        </w:rPr>
        <w:t>（二）在禁燃区内，禁止新建、改建、扩建任何燃用高污染燃料的项目和设备。</w:t>
      </w:r>
    </w:p>
    <w:p>
      <w:pPr>
        <w:spacing w:line="560" w:lineRule="exact"/>
        <w:ind w:firstLine="640" w:firstLineChars="200"/>
        <w:contextualSpacing/>
        <w:rPr>
          <w:rFonts w:ascii="Times New Roman" w:hAnsi="Times New Roman" w:eastAsia="方正仿宋_GBK"/>
          <w:sz w:val="32"/>
          <w:szCs w:val="32"/>
        </w:rPr>
      </w:pPr>
      <w:r>
        <w:rPr>
          <w:rFonts w:ascii="Times New Roman" w:eastAsia="方正仿宋_GBK"/>
          <w:sz w:val="32"/>
          <w:szCs w:val="32"/>
        </w:rPr>
        <w:t>（三）已建成使用高污染燃料的各类设备应当拆除或者改用管道天然气、页岩气、液化石油气、电或者其他清洁能源；在不具备使用清洁能源条件的区域，可使用配备专用锅炉和除尘装置的生物质成型燃料。</w:t>
      </w:r>
    </w:p>
    <w:p>
      <w:pPr>
        <w:spacing w:line="560" w:lineRule="exact"/>
        <w:ind w:firstLine="640" w:firstLineChars="200"/>
        <w:contextualSpacing/>
        <w:rPr>
          <w:rFonts w:ascii="Times New Roman" w:hAnsi="Times New Roman" w:eastAsia="方正仿宋_GBK"/>
          <w:sz w:val="32"/>
          <w:szCs w:val="32"/>
        </w:rPr>
      </w:pPr>
      <w:r>
        <w:rPr>
          <w:rFonts w:ascii="Times New Roman" w:eastAsia="方正仿宋_GBK"/>
          <w:sz w:val="32"/>
          <w:szCs w:val="32"/>
        </w:rPr>
        <w:t>（四）现有燃用高污染燃料设备在拆除或改造之前，有关单位和个人应当采取措施，确保排放的大气污染物达到国家和重庆市规定的大气污染物排放标准。</w:t>
      </w:r>
    </w:p>
    <w:p>
      <w:pPr>
        <w:spacing w:line="560" w:lineRule="exact"/>
        <w:ind w:firstLine="640" w:firstLineChars="200"/>
        <w:contextualSpacing/>
        <w:rPr>
          <w:rFonts w:ascii="Times New Roman" w:hAnsi="Times New Roman" w:eastAsia="黑体"/>
          <w:sz w:val="32"/>
          <w:szCs w:val="32"/>
        </w:rPr>
      </w:pPr>
      <w:r>
        <w:rPr>
          <w:rFonts w:ascii="Times New Roman" w:eastAsia="黑体"/>
          <w:sz w:val="32"/>
          <w:szCs w:val="32"/>
        </w:rPr>
        <w:t>五、法律责任</w:t>
      </w:r>
    </w:p>
    <w:p>
      <w:pPr>
        <w:spacing w:line="560" w:lineRule="exact"/>
        <w:ind w:firstLine="640" w:firstLineChars="200"/>
        <w:contextualSpacing/>
        <w:rPr>
          <w:rFonts w:ascii="Times New Roman" w:hAnsi="Times New Roman" w:eastAsia="方正仿宋_GBK"/>
          <w:sz w:val="32"/>
          <w:szCs w:val="32"/>
        </w:rPr>
      </w:pPr>
      <w:r>
        <w:rPr>
          <w:rFonts w:ascii="Times New Roman" w:eastAsia="方正仿宋_GBK"/>
          <w:sz w:val="32"/>
          <w:szCs w:val="32"/>
        </w:rPr>
        <w:t>县生态环境</w:t>
      </w:r>
      <w:r>
        <w:rPr>
          <w:rFonts w:hint="eastAsia" w:ascii="Times New Roman" w:eastAsia="方正仿宋_GBK"/>
          <w:sz w:val="32"/>
          <w:szCs w:val="32"/>
        </w:rPr>
        <w:t>保护</w:t>
      </w:r>
      <w:r>
        <w:rPr>
          <w:rFonts w:ascii="Times New Roman" w:eastAsia="方正仿宋_GBK"/>
          <w:sz w:val="32"/>
          <w:szCs w:val="32"/>
        </w:rPr>
        <w:t>、市场监督管理等部门依照《中华人民共和国大气污染防治法》《重庆市大气污染防治条例》等规定</w:t>
      </w:r>
      <w:r>
        <w:rPr>
          <w:rFonts w:hint="eastAsia" w:ascii="Times New Roman" w:eastAsia="方正仿宋_GBK"/>
          <w:sz w:val="32"/>
          <w:szCs w:val="32"/>
        </w:rPr>
        <w:t>严肃</w:t>
      </w:r>
      <w:r>
        <w:rPr>
          <w:rFonts w:ascii="Times New Roman" w:eastAsia="方正仿宋_GBK"/>
          <w:sz w:val="32"/>
          <w:szCs w:val="32"/>
        </w:rPr>
        <w:t>查处禁燃区各类违法行为。</w:t>
      </w:r>
    </w:p>
    <w:p>
      <w:pPr>
        <w:spacing w:line="560" w:lineRule="exact"/>
        <w:ind w:firstLine="640" w:firstLineChars="200"/>
        <w:contextualSpacing/>
        <w:rPr>
          <w:rFonts w:ascii="Times New Roman" w:hAnsi="Times New Roman" w:eastAsia="黑体"/>
          <w:sz w:val="32"/>
          <w:szCs w:val="32"/>
        </w:rPr>
      </w:pPr>
      <w:r>
        <w:rPr>
          <w:rFonts w:ascii="Times New Roman" w:eastAsia="黑体"/>
          <w:sz w:val="32"/>
          <w:szCs w:val="32"/>
        </w:rPr>
        <w:t>六、其他</w:t>
      </w:r>
    </w:p>
    <w:p>
      <w:pPr>
        <w:spacing w:line="560" w:lineRule="exact"/>
        <w:ind w:firstLine="640" w:firstLineChars="200"/>
        <w:contextualSpacing/>
        <w:rPr>
          <w:rFonts w:ascii="Times New Roman" w:hAnsi="Times New Roman" w:eastAsia="方正仿宋_GBK"/>
          <w:sz w:val="32"/>
          <w:szCs w:val="32"/>
        </w:rPr>
      </w:pPr>
      <w:r>
        <w:rPr>
          <w:rFonts w:ascii="Times New Roman" w:eastAsia="方正仿宋_GBK"/>
          <w:sz w:val="32"/>
          <w:szCs w:val="32"/>
        </w:rPr>
        <w:t>本《通告》自发布之日起施行。原《忠县人民政府关于划定忠州街道白公街道</w:t>
      </w:r>
      <w:r>
        <w:rPr>
          <w:rFonts w:ascii="Times New Roman" w:hAnsi="Times New Roman" w:eastAsia="方正仿宋_GBK"/>
          <w:sz w:val="32"/>
          <w:szCs w:val="32"/>
        </w:rPr>
        <w:t>14</w:t>
      </w:r>
      <w:r>
        <w:rPr>
          <w:rFonts w:ascii="Times New Roman" w:eastAsia="方正仿宋_GBK"/>
          <w:sz w:val="32"/>
          <w:szCs w:val="32"/>
        </w:rPr>
        <w:t>个社区为高污染燃料禁燃区的通告》（忠府发〔</w:t>
      </w:r>
      <w:r>
        <w:rPr>
          <w:rFonts w:ascii="Times New Roman" w:hAnsi="Times New Roman" w:eastAsia="方正仿宋_GBK"/>
          <w:sz w:val="32"/>
          <w:szCs w:val="32"/>
        </w:rPr>
        <w:t>2018</w:t>
      </w:r>
      <w:r>
        <w:rPr>
          <w:rFonts w:ascii="Times New Roman" w:eastAsia="方正仿宋_GBK"/>
          <w:sz w:val="32"/>
          <w:szCs w:val="32"/>
        </w:rPr>
        <w:t>〕</w:t>
      </w:r>
      <w:r>
        <w:rPr>
          <w:rFonts w:ascii="Times New Roman" w:hAnsi="Times New Roman" w:eastAsia="方正仿宋_GBK"/>
          <w:sz w:val="32"/>
          <w:szCs w:val="32"/>
        </w:rPr>
        <w:t>35</w:t>
      </w:r>
      <w:r>
        <w:rPr>
          <w:rFonts w:ascii="Times New Roman" w:eastAsia="方正仿宋_GBK"/>
          <w:sz w:val="32"/>
          <w:szCs w:val="32"/>
        </w:rPr>
        <w:t>号）同时废止。</w:t>
      </w:r>
    </w:p>
    <w:p>
      <w:pPr>
        <w:spacing w:line="560" w:lineRule="exact"/>
        <w:ind w:firstLine="640" w:firstLineChars="200"/>
        <w:contextualSpacing/>
        <w:rPr>
          <w:rFonts w:ascii="Times New Roman" w:hAnsi="Times New Roman"/>
        </w:rPr>
      </w:pPr>
      <w:r>
        <w:rPr>
          <w:rFonts w:ascii="Times New Roman" w:eastAsia="方正仿宋_GBK"/>
          <w:sz w:val="32"/>
          <w:szCs w:val="32"/>
        </w:rPr>
        <w:t>特此通告</w:t>
      </w:r>
      <w:bookmarkStart w:id="0" w:name="_GoBack"/>
      <w:bookmarkEnd w:id="0"/>
    </w:p>
    <w:p>
      <w:pPr>
        <w:pStyle w:val="3"/>
        <w:spacing w:before="0" w:after="0" w:line="560" w:lineRule="exact"/>
        <w:contextualSpacing/>
        <w:rPr>
          <w:rFonts w:hint="eastAsia" w:ascii="Times New Roman" w:hAnsi="Times New Roman"/>
        </w:rPr>
      </w:pPr>
    </w:p>
    <w:p>
      <w:pPr>
        <w:spacing w:line="560" w:lineRule="exact"/>
        <w:rPr>
          <w:rFonts w:ascii="Times New Roman" w:hAnsi="Times New Roman"/>
        </w:rPr>
      </w:pPr>
    </w:p>
    <w:p>
      <w:pPr>
        <w:spacing w:line="560" w:lineRule="exact"/>
        <w:ind w:firstLine="6080" w:firstLineChars="1900"/>
        <w:contextualSpacing/>
        <w:rPr>
          <w:rFonts w:ascii="Times New Roman" w:hAnsi="Times New Roman" w:eastAsia="方正仿宋_GBK"/>
          <w:sz w:val="32"/>
          <w:szCs w:val="32"/>
        </w:rPr>
      </w:pPr>
      <w:r>
        <w:rPr>
          <w:rFonts w:ascii="Times New Roman" w:eastAsia="方正仿宋_GBK"/>
          <w:sz w:val="32"/>
          <w:szCs w:val="32"/>
        </w:rPr>
        <w:t>忠县人民政府</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right"/>
        <w:textAlignment w:val="auto"/>
        <w:rPr>
          <w:rFonts w:hint="default" w:ascii="Times New Roman" w:hAnsi="Times New Roman" w:eastAsia="方正仿宋_GBK" w:cs="Times New Roman"/>
          <w:i w:val="0"/>
          <w:caps w:val="0"/>
          <w:color w:val="000000"/>
          <w:spacing w:val="0"/>
          <w:sz w:val="32"/>
          <w:szCs w:val="32"/>
        </w:rPr>
      </w:pPr>
      <w:r>
        <w:rPr>
          <w:rFonts w:ascii="Times New Roman" w:hAnsi="Times New Roman" w:eastAsia="方正仿宋_GBK"/>
          <w:sz w:val="32"/>
          <w:szCs w:val="32"/>
        </w:rPr>
        <w:t>20</w:t>
      </w:r>
      <w:r>
        <w:rPr>
          <w:rFonts w:hint="eastAsia" w:ascii="Times New Roman" w:hAnsi="Times New Roman" w:eastAsia="方正仿宋_GBK"/>
          <w:sz w:val="32"/>
          <w:szCs w:val="32"/>
        </w:rPr>
        <w:t>22</w:t>
      </w:r>
      <w:r>
        <w:rPr>
          <w:rFonts w:ascii="Times New Roman" w:eastAsia="方正仿宋_GBK"/>
          <w:sz w:val="32"/>
          <w:szCs w:val="32"/>
        </w:rPr>
        <w:t>年</w:t>
      </w:r>
      <w:r>
        <w:rPr>
          <w:rFonts w:hint="eastAsia" w:ascii="Times New Roman" w:hAnsi="Times New Roman" w:eastAsia="方正仿宋_GBK"/>
          <w:sz w:val="32"/>
          <w:szCs w:val="32"/>
        </w:rPr>
        <w:t>12</w:t>
      </w:r>
      <w:r>
        <w:rPr>
          <w:rFonts w:ascii="Times New Roman" w:eastAsia="方正仿宋_GBK"/>
          <w:sz w:val="32"/>
          <w:szCs w:val="32"/>
        </w:rPr>
        <w:t>月</w:t>
      </w:r>
      <w:r>
        <w:rPr>
          <w:rFonts w:hint="eastAsia" w:ascii="Times New Roman" w:hAnsi="Times New Roman" w:eastAsia="方正仿宋_GBK"/>
          <w:sz w:val="32"/>
          <w:szCs w:val="32"/>
          <w:lang w:val="en"/>
        </w:rPr>
        <w:t>26</w:t>
      </w:r>
      <w:r>
        <w:rPr>
          <w:rFonts w:ascii="Times New Roman" w:eastAsia="方正仿宋_GBK"/>
          <w:sz w:val="32"/>
          <w:szCs w:val="32"/>
        </w:rPr>
        <w:t>日</w:t>
      </w:r>
      <w:r>
        <w:rPr>
          <w:rFonts w:hint="default" w:ascii="Times New Roman" w:hAnsi="Times New Roman" w:eastAsia="方正仿宋_GBK" w:cs="Times New Roman"/>
          <w:i w:val="0"/>
          <w:caps w:val="0"/>
          <w:color w:val="000000"/>
          <w:spacing w:val="0"/>
          <w:sz w:val="32"/>
          <w:szCs w:val="32"/>
          <w:shd w:val="clear" w:fill="FFFFFF"/>
        </w:rPr>
        <w:t>    </w:t>
      </w: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val="0"/>
      <w:overflowPunct/>
      <w:topLinePunct w:val="0"/>
      <w:autoSpaceDE/>
      <w:autoSpaceDN/>
      <w:bidi w:val="0"/>
      <w:adjustRightInd/>
      <w:snapToGrid w:val="0"/>
      <w:spacing w:before="0" w:beforeLines="100" w:line="240" w:lineRule="auto"/>
      <w:ind w:left="1065" w:leftChars="507" w:right="0" w:rightChars="0" w:firstLine="10115" w:firstLineChars="3161"/>
      <w:jc w:val="right"/>
      <w:textAlignment w:val="auto"/>
      <w:outlineLvl w:val="9"/>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312420</wp:posOffset>
              </wp:positionV>
              <wp:extent cx="5616575" cy="190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24.6pt;height:0.15pt;width:442.25pt;z-index:251660288;mso-width-relative:page;mso-height-relative:page;" filled="f" stroked="t" coordsize="21600,21600" o:gfxdata="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jKOytQA&#10;AAAHAQAADwAAAAAAAAABACAAAAAiAAAAZHJzL2Rvd25yZXYueG1sUEsBAhQAFAAAAAgAh07iQElI&#10;j5/qAQAAtQMAAA4AAAAAAAAAAQAgAAAAIwEAAGRycy9lMm9Eb2MueG1sUEsFBgAAAAAGAAYAWQEA&#10;AH8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rFonts w:hint="default" w:ascii="宋体" w:hAnsi="宋体" w:eastAsia="宋体" w:cs="宋体"/>
        <w:b/>
        <w:bCs/>
        <w:color w:val="005192"/>
        <w:sz w:val="28"/>
        <w:szCs w:val="44"/>
        <w:lang w:eastAsia="zh-Hans"/>
      </w:rPr>
      <w:t>X</w:t>
    </w:r>
    <w:r>
      <w:rPr>
        <w:rFonts w:hint="eastAsia" w:ascii="宋体" w:hAnsi="宋体" w:eastAsia="宋体" w:cs="宋体"/>
        <w:b/>
        <w:bCs/>
        <w:color w:val="005192"/>
        <w:sz w:val="28"/>
        <w:szCs w:val="44"/>
        <w:lang w:val="en-US" w:eastAsia="zh-CN"/>
      </w:rPr>
      <w:t xml:space="preserve">忠县人民政府办公室发布     </w:t>
    </w:r>
  </w:p>
  <w:p>
    <w:pPr>
      <w:pStyle w:val="2"/>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p>
    <w:pPr>
      <w:pStyle w:val="4"/>
      <w:keepNext w:val="0"/>
      <w:keepLines w:val="0"/>
      <w:pageBreakBefore w:val="0"/>
      <w:widowControl w:val="0"/>
      <w:kinsoku/>
      <w:wordWrap/>
      <w:overflowPunct/>
      <w:topLinePunct w:val="0"/>
      <w:autoSpaceDE/>
      <w:autoSpaceDN/>
      <w:bidi w:val="0"/>
      <w:adjustRightInd/>
      <w:snapToGrid w:val="0"/>
      <w:textAlignment w:val="cente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407035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32.05pt;height:0pt;width:442.55pt;z-index:251659264;mso-width-relative:page;mso-height-relative:page;" filled="f" stroked="t" coordsize="21600,21600" o:gfxdata="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O4Uy60wAAAAYB&#10;AAAPAAAAAAAAAAEAIAAAACIAAABkcnMvZG93bnJldi54bWxQSwECFAAUAAAACACHTuJAsNGj1ucB&#10;AACyAwAADgAAAAAAAAABACAAAAAiAQAAZHJzL2Uyb0RvYy54bWxQSwUGAAAAAAYABgBZAQAAewUA&#10;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忠县人民政府行政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jNDE3ZTAyMDM0NmQyZDQ4YmRjY2QyYTJiNmM3OTcifQ=="/>
  </w:docVars>
  <w:rsids>
    <w:rsidRoot w:val="3C7E06D4"/>
    <w:rsid w:val="149A3C1F"/>
    <w:rsid w:val="17982698"/>
    <w:rsid w:val="18023FB5"/>
    <w:rsid w:val="1E6C03DB"/>
    <w:rsid w:val="1E7554E1"/>
    <w:rsid w:val="210C7C53"/>
    <w:rsid w:val="29FB0417"/>
    <w:rsid w:val="339E0BDF"/>
    <w:rsid w:val="344A6670"/>
    <w:rsid w:val="34AB35B3"/>
    <w:rsid w:val="3C7E06D4"/>
    <w:rsid w:val="3DFC4E7F"/>
    <w:rsid w:val="44112358"/>
    <w:rsid w:val="46DA7D28"/>
    <w:rsid w:val="48793076"/>
    <w:rsid w:val="506D39BB"/>
    <w:rsid w:val="59CB10DD"/>
    <w:rsid w:val="608A0CED"/>
    <w:rsid w:val="65362175"/>
    <w:rsid w:val="79773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qFormat/>
    <w:uiPriority w:val="0"/>
    <w:pPr>
      <w:keepNext/>
      <w:keepLines/>
      <w:spacing w:before="280" w:after="290" w:line="376" w:lineRule="atLeast"/>
      <w:outlineLvl w:val="3"/>
    </w:pPr>
    <w:rPr>
      <w:rFonts w:ascii="Calibri Light" w:hAnsi="Calibri Light"/>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sfj</Company>
  <Pages>3</Pages>
  <Words>929</Words>
  <Characters>957</Characters>
  <Lines>0</Lines>
  <Paragraphs>0</Paragraphs>
  <TotalTime>0</TotalTime>
  <ScaleCrop>false</ScaleCrop>
  <LinksUpToDate>false</LinksUpToDate>
  <CharactersWithSpaces>963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2022-06-09T06:30:00Z</dcterms:created>
  <dc:creator>Administrator</dc:creator>
  <cp:lastModifiedBy>冉妹儿</cp:lastModifiedBy>
  <dcterms:modified xsi:type="dcterms:W3CDTF">2023-02-14T01:17:31Z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3FC7F4809DA54A1791408B0D451A0886</vt:lpwstr>
  </property>
</Properties>
</file>